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79B" w:rsidRPr="00644075" w:rsidRDefault="00D7179B" w:rsidP="00D7179B">
      <w:pPr>
        <w:keepNext/>
        <w:keepLines/>
        <w:spacing w:before="120" w:after="0" w:line="276" w:lineRule="auto"/>
        <w:jc w:val="right"/>
        <w:outlineLvl w:val="3"/>
        <w:rPr>
          <w:rFonts w:eastAsia="Microsoft Sans Serif" w:cstheme="majorBidi"/>
          <w:b/>
          <w:i/>
          <w:iCs/>
          <w:lang w:eastAsia="bg-BG" w:bidi="bg-BG"/>
        </w:rPr>
      </w:pPr>
      <w:r w:rsidRPr="00644075">
        <w:rPr>
          <w:rFonts w:eastAsia="Microsoft Sans Serif" w:cstheme="majorBidi"/>
          <w:b/>
          <w:i/>
          <w:iCs/>
          <w:lang w:eastAsia="bg-BG" w:bidi="bg-BG"/>
        </w:rPr>
        <w:t xml:space="preserve">Приложение </w:t>
      </w:r>
      <w:r w:rsidR="00402333">
        <w:rPr>
          <w:rFonts w:eastAsia="Microsoft Sans Serif" w:cstheme="majorBidi"/>
          <w:b/>
          <w:i/>
          <w:iCs/>
          <w:lang w:eastAsia="bg-BG" w:bidi="bg-BG"/>
        </w:rPr>
        <w:t>2</w:t>
      </w:r>
    </w:p>
    <w:p w:rsidR="00D7179B" w:rsidRPr="000436D5" w:rsidRDefault="00D7179B" w:rsidP="00D7179B">
      <w:pPr>
        <w:shd w:val="clear" w:color="auto" w:fill="FFFFFF"/>
        <w:spacing w:before="120" w:after="0" w:line="276" w:lineRule="auto"/>
        <w:jc w:val="center"/>
        <w:textAlignment w:val="baseline"/>
        <w:rPr>
          <w:rFonts w:eastAsia="Times New Roman" w:cs="Times New Roman"/>
          <w:b/>
          <w:sz w:val="28"/>
          <w:szCs w:val="32"/>
        </w:rPr>
      </w:pPr>
      <w:r w:rsidRPr="000436D5">
        <w:rPr>
          <w:rFonts w:eastAsia="Times New Roman" w:cs="Times New Roman"/>
          <w:b/>
          <w:sz w:val="28"/>
          <w:szCs w:val="32"/>
        </w:rPr>
        <w:t>Екосистемата на изкуствения интелект в България</w:t>
      </w:r>
    </w:p>
    <w:p w:rsidR="00D7179B" w:rsidRDefault="00D7179B" w:rsidP="00D7179B">
      <w:pPr>
        <w:shd w:val="clear" w:color="auto" w:fill="FFFFFF"/>
        <w:spacing w:before="120" w:after="0" w:line="276" w:lineRule="auto"/>
        <w:jc w:val="both"/>
        <w:textAlignment w:val="baseline"/>
        <w:rPr>
          <w:rFonts w:cs="Times New Roman"/>
          <w:szCs w:val="24"/>
        </w:rPr>
      </w:pPr>
      <w:r>
        <w:rPr>
          <w:rFonts w:cs="Times New Roman"/>
          <w:szCs w:val="24"/>
        </w:rPr>
        <w:t xml:space="preserve">Факти от </w:t>
      </w:r>
      <w:hyperlink r:id="rId7" w:history="1">
        <w:r w:rsidR="000436D5">
          <w:rPr>
            <w:rStyle w:val="Hyperlink"/>
            <w:rFonts w:cs="Times New Roman"/>
            <w:szCs w:val="24"/>
          </w:rPr>
          <w:t>а</w:t>
        </w:r>
        <w:r w:rsidRPr="000436D5">
          <w:rPr>
            <w:rStyle w:val="Hyperlink"/>
            <w:rFonts w:cs="Times New Roman"/>
            <w:szCs w:val="24"/>
          </w:rPr>
          <w:t>нализа</w:t>
        </w:r>
        <w:r w:rsidR="000436D5" w:rsidRPr="000436D5">
          <w:rPr>
            <w:rStyle w:val="Hyperlink"/>
            <w:rFonts w:cs="Times New Roman"/>
            <w:szCs w:val="24"/>
            <w:lang w:val="en-US"/>
          </w:rPr>
          <w:t xml:space="preserve"> </w:t>
        </w:r>
        <w:r w:rsidR="000436D5" w:rsidRPr="000436D5">
          <w:rPr>
            <w:rStyle w:val="Hyperlink"/>
            <w:rFonts w:cs="Times New Roman"/>
            <w:szCs w:val="24"/>
          </w:rPr>
          <w:t xml:space="preserve">на AI Cluster </w:t>
        </w:r>
        <w:r w:rsidR="000436D5">
          <w:rPr>
            <w:rStyle w:val="Hyperlink"/>
            <w:rFonts w:cs="Times New Roman"/>
            <w:szCs w:val="24"/>
          </w:rPr>
          <w:t xml:space="preserve">и SeeNews </w:t>
        </w:r>
        <w:r w:rsidR="000436D5" w:rsidRPr="000436D5">
          <w:rPr>
            <w:rStyle w:val="Hyperlink"/>
            <w:rFonts w:cs="Times New Roman"/>
            <w:szCs w:val="24"/>
            <w:lang w:val="en-US"/>
          </w:rPr>
          <w:t>за 2022 г</w:t>
        </w:r>
      </w:hyperlink>
      <w:r w:rsidR="000436D5">
        <w:rPr>
          <w:rFonts w:cs="Times New Roman"/>
          <w:szCs w:val="24"/>
          <w:lang w:val="en-US"/>
        </w:rPr>
        <w:t>.</w:t>
      </w:r>
      <w:r w:rsidRPr="008428BA">
        <w:rPr>
          <w:rFonts w:cs="Times New Roman"/>
          <w:szCs w:val="24"/>
        </w:rPr>
        <w:t xml:space="preserve">: </w:t>
      </w:r>
    </w:p>
    <w:p w:rsidR="00D7179B" w:rsidRPr="00D7179B" w:rsidRDefault="00D7179B" w:rsidP="00D7179B">
      <w:pPr>
        <w:pStyle w:val="ListParagraph"/>
        <w:numPr>
          <w:ilvl w:val="0"/>
          <w:numId w:val="2"/>
        </w:numPr>
        <w:shd w:val="clear" w:color="auto" w:fill="FFFFFF"/>
        <w:spacing w:before="120" w:after="0" w:line="276" w:lineRule="auto"/>
        <w:jc w:val="both"/>
        <w:textAlignment w:val="baseline"/>
        <w:rPr>
          <w:rFonts w:eastAsia="Times New Roman" w:cs="Times New Roman"/>
          <w:szCs w:val="24"/>
        </w:rPr>
      </w:pPr>
      <w:r w:rsidRPr="00D7179B">
        <w:rPr>
          <w:rFonts w:eastAsia="Times New Roman" w:cs="Times New Roman"/>
          <w:szCs w:val="24"/>
        </w:rPr>
        <w:t>Увеличава се броят на компаниите, които се интересуват от използването на ИИ за създаване на иновативни решения, които могат да повлияят положително на българското общество;</w:t>
      </w:r>
    </w:p>
    <w:p w:rsidR="00D7179B" w:rsidRPr="00D7179B" w:rsidRDefault="00D7179B" w:rsidP="00D7179B">
      <w:pPr>
        <w:pStyle w:val="ListParagraph"/>
        <w:numPr>
          <w:ilvl w:val="0"/>
          <w:numId w:val="2"/>
        </w:numPr>
        <w:shd w:val="clear" w:color="auto" w:fill="FFFFFF"/>
        <w:spacing w:before="120" w:after="0" w:line="276" w:lineRule="auto"/>
        <w:jc w:val="both"/>
        <w:textAlignment w:val="baseline"/>
        <w:rPr>
          <w:rFonts w:eastAsia="Times New Roman" w:cs="Times New Roman"/>
          <w:szCs w:val="24"/>
        </w:rPr>
      </w:pPr>
      <w:r w:rsidRPr="00D7179B">
        <w:rPr>
          <w:rFonts w:eastAsia="Times New Roman" w:cs="Times New Roman"/>
          <w:szCs w:val="24"/>
        </w:rPr>
        <w:t>Общата печалба  на българските разработчици на изкуствен интелект достигна рекордните 25,7 милиона през 2021 г., което е скок от над 35% спрямо сумата през 2019 г.;</w:t>
      </w:r>
    </w:p>
    <w:p w:rsidR="00D7179B" w:rsidRPr="00D7179B" w:rsidRDefault="00D7179B" w:rsidP="00D7179B">
      <w:pPr>
        <w:pStyle w:val="ListParagraph"/>
        <w:numPr>
          <w:ilvl w:val="0"/>
          <w:numId w:val="2"/>
        </w:numPr>
        <w:shd w:val="clear" w:color="auto" w:fill="FFFFFF"/>
        <w:spacing w:before="120" w:after="0" w:line="276" w:lineRule="auto"/>
        <w:jc w:val="both"/>
        <w:textAlignment w:val="baseline"/>
        <w:rPr>
          <w:rFonts w:eastAsia="Times New Roman" w:cs="Times New Roman"/>
          <w:szCs w:val="24"/>
        </w:rPr>
      </w:pPr>
      <w:r w:rsidRPr="00D7179B">
        <w:rPr>
          <w:rFonts w:eastAsia="Times New Roman" w:cs="Times New Roman"/>
          <w:szCs w:val="24"/>
        </w:rPr>
        <w:t>Българските предприемачи имат силно присъствие на местната AI сцена – 70% от компаниите в района са собственост единствено на български лица или компании;</w:t>
      </w:r>
    </w:p>
    <w:p w:rsidR="00D7179B" w:rsidRPr="00D7179B" w:rsidRDefault="00D7179B" w:rsidP="00D7179B">
      <w:pPr>
        <w:pStyle w:val="ListParagraph"/>
        <w:numPr>
          <w:ilvl w:val="0"/>
          <w:numId w:val="2"/>
        </w:numPr>
        <w:shd w:val="clear" w:color="auto" w:fill="FFFFFF"/>
        <w:spacing w:before="120" w:after="0" w:line="276" w:lineRule="auto"/>
        <w:jc w:val="both"/>
        <w:textAlignment w:val="baseline"/>
        <w:rPr>
          <w:rFonts w:eastAsia="Times New Roman" w:cs="Times New Roman"/>
          <w:szCs w:val="24"/>
        </w:rPr>
      </w:pPr>
      <w:r w:rsidRPr="00D7179B">
        <w:rPr>
          <w:rFonts w:eastAsia="Times New Roman" w:cs="Times New Roman"/>
          <w:szCs w:val="24"/>
        </w:rPr>
        <w:t>Има тенденция към нарастване на броя на заетите специалисти в областта, като през 2020 г. е достигнат рекорден годишен ръст от 25%;</w:t>
      </w:r>
    </w:p>
    <w:p w:rsidR="00D7179B" w:rsidRPr="00D7179B" w:rsidRDefault="00D7179B" w:rsidP="00D7179B">
      <w:pPr>
        <w:pStyle w:val="ListParagraph"/>
        <w:numPr>
          <w:ilvl w:val="0"/>
          <w:numId w:val="2"/>
        </w:numPr>
        <w:shd w:val="clear" w:color="auto" w:fill="FFFFFF"/>
        <w:spacing w:before="120" w:after="0" w:line="276" w:lineRule="auto"/>
        <w:jc w:val="both"/>
        <w:textAlignment w:val="baseline"/>
        <w:rPr>
          <w:rFonts w:eastAsia="Times New Roman" w:cs="Times New Roman"/>
          <w:szCs w:val="24"/>
        </w:rPr>
      </w:pPr>
      <w:r w:rsidRPr="00D7179B">
        <w:rPr>
          <w:rFonts w:eastAsia="Times New Roman" w:cs="Times New Roman"/>
          <w:szCs w:val="24"/>
        </w:rPr>
        <w:t>През 2021 г. близо 40% от заетите в сектора са се занимавали с научноизследователска и развойна дейност спрямо 29% през 2020 г.;</w:t>
      </w:r>
    </w:p>
    <w:p w:rsidR="00D7179B" w:rsidRPr="008428BA" w:rsidRDefault="00D7179B" w:rsidP="00D7179B">
      <w:pPr>
        <w:spacing w:before="120" w:after="0" w:line="276" w:lineRule="auto"/>
        <w:jc w:val="both"/>
        <w:rPr>
          <w:rFonts w:cs="Times New Roman"/>
          <w:szCs w:val="24"/>
        </w:rPr>
      </w:pPr>
      <w:r w:rsidRPr="008428BA">
        <w:rPr>
          <w:rFonts w:cs="Times New Roman"/>
          <w:szCs w:val="24"/>
        </w:rPr>
        <w:t xml:space="preserve">България </w:t>
      </w:r>
      <w:r>
        <w:rPr>
          <w:rFonts w:cs="Times New Roman"/>
          <w:szCs w:val="24"/>
        </w:rPr>
        <w:t>има голям брой участници в областта на</w:t>
      </w:r>
      <w:r w:rsidRPr="008428BA">
        <w:rPr>
          <w:rFonts w:cs="Times New Roman"/>
          <w:szCs w:val="24"/>
        </w:rPr>
        <w:t xml:space="preserve"> изкуствен</w:t>
      </w:r>
      <w:r>
        <w:rPr>
          <w:rFonts w:cs="Times New Roman"/>
          <w:szCs w:val="24"/>
        </w:rPr>
        <w:t>ия интелект (ИИ</w:t>
      </w:r>
      <w:r w:rsidRPr="008428BA">
        <w:rPr>
          <w:rFonts w:cs="Times New Roman"/>
          <w:szCs w:val="24"/>
        </w:rPr>
        <w:t xml:space="preserve">) в индустрията, научните изследвания и стартиращите фирми спрямо размера на нейната икономика, констатира последният доклад на Световната банка, наречен </w:t>
      </w:r>
      <w:r w:rsidRPr="00541840">
        <w:rPr>
          <w:rFonts w:cs="Times New Roman"/>
          <w:i/>
          <w:szCs w:val="24"/>
        </w:rPr>
        <w:t xml:space="preserve">Европа 4.0: Справяне с цифровата дилема/ Europe 4.0: Addressing the Digital Dilemma. </w:t>
      </w:r>
      <w:r w:rsidRPr="008428BA">
        <w:rPr>
          <w:rFonts w:cs="Times New Roman"/>
          <w:szCs w:val="24"/>
        </w:rPr>
        <w:t>Възприемането на ИИ в страната се сравнява с това в Малта, Естония и Кипър, въпреки че ст</w:t>
      </w:r>
      <w:r>
        <w:rPr>
          <w:rFonts w:cs="Times New Roman"/>
          <w:szCs w:val="24"/>
        </w:rPr>
        <w:t>раните от ЕС14 доминират в областта</w:t>
      </w:r>
      <w:r w:rsidRPr="008428BA">
        <w:rPr>
          <w:rFonts w:cs="Times New Roman"/>
          <w:szCs w:val="24"/>
        </w:rPr>
        <w:t xml:space="preserve"> на ИИ.</w:t>
      </w:r>
    </w:p>
    <w:p w:rsidR="00D7179B" w:rsidRPr="008428BA" w:rsidRDefault="00D7179B" w:rsidP="00D7179B">
      <w:pPr>
        <w:spacing w:before="120" w:after="0" w:line="276" w:lineRule="auto"/>
        <w:jc w:val="both"/>
        <w:rPr>
          <w:rFonts w:cs="Times New Roman"/>
          <w:b/>
          <w:szCs w:val="24"/>
        </w:rPr>
      </w:pPr>
      <w:r>
        <w:rPr>
          <w:rFonts w:cs="Times New Roman"/>
          <w:b/>
          <w:szCs w:val="24"/>
        </w:rPr>
        <w:t>Регулация</w:t>
      </w:r>
      <w:r w:rsidRPr="008428BA">
        <w:rPr>
          <w:rFonts w:cs="Times New Roman"/>
          <w:b/>
          <w:szCs w:val="24"/>
        </w:rPr>
        <w:t xml:space="preserve"> и стратегически рамки</w:t>
      </w:r>
    </w:p>
    <w:p w:rsidR="00D7179B" w:rsidRPr="0003500E" w:rsidRDefault="00D7179B" w:rsidP="0003500E">
      <w:pPr>
        <w:pStyle w:val="Heading1"/>
      </w:pPr>
      <w:r w:rsidRPr="0003500E">
        <w:t xml:space="preserve">План за цифрова трансформация на българската индустрия </w:t>
      </w:r>
    </w:p>
    <w:p w:rsidR="00D7179B" w:rsidRPr="00355E9B" w:rsidRDefault="00D7179B" w:rsidP="00D7179B">
      <w:pPr>
        <w:spacing w:before="120" w:after="0" w:line="276" w:lineRule="auto"/>
        <w:jc w:val="both"/>
        <w:rPr>
          <w:rFonts w:cs="Times New Roman"/>
          <w:szCs w:val="24"/>
        </w:rPr>
      </w:pPr>
      <w:r w:rsidRPr="008428BA">
        <w:rPr>
          <w:rFonts w:cs="Times New Roman"/>
          <w:szCs w:val="24"/>
        </w:rPr>
        <w:t>Министерският съвет на България одобри през юли 2020 г.</w:t>
      </w:r>
      <w:r>
        <w:rPr>
          <w:rFonts w:cs="Times New Roman"/>
          <w:szCs w:val="24"/>
        </w:rPr>
        <w:t>,</w:t>
      </w:r>
      <w:r w:rsidRPr="008428BA">
        <w:rPr>
          <w:rFonts w:cs="Times New Roman"/>
          <w:szCs w:val="24"/>
        </w:rPr>
        <w:t xml:space="preserve"> стратегическия документ „План за цифрова трансформация на българската индустрия (Индустрия 4.0)“ като предшественик на стратегията за участие на България в четвъртата инд</w:t>
      </w:r>
      <w:r>
        <w:rPr>
          <w:rFonts w:cs="Times New Roman"/>
          <w:szCs w:val="24"/>
        </w:rPr>
        <w:t>устриална революция до 2030 г. Р</w:t>
      </w:r>
      <w:r w:rsidRPr="008428BA">
        <w:rPr>
          <w:rFonts w:cs="Times New Roman"/>
          <w:szCs w:val="24"/>
        </w:rPr>
        <w:t>аботна група с представители на Министерството на икономиката, работодателските организации и ИКТ сектора финализира документа. Мерките и целите му ще осигурят основа за разработване на стратегията за МСП на страната и Стратегията за интелигентна специализация в областта на научните изследвания и иновациите (RIS3), като цифровизацията е междусекторен</w:t>
      </w:r>
      <w:r>
        <w:rPr>
          <w:rFonts w:cs="Times New Roman"/>
          <w:szCs w:val="24"/>
        </w:rPr>
        <w:t xml:space="preserve">/хоризонтален </w:t>
      </w:r>
      <w:r w:rsidRPr="008428BA">
        <w:rPr>
          <w:rFonts w:cs="Times New Roman"/>
          <w:szCs w:val="24"/>
        </w:rPr>
        <w:t>приоритет и в двата стратегически документа. Стратегическият документ определя три приоритета: укрепване на връзката наука-индустрия и ускоряване на интегрирането в европейски и международни програми, в съответствие с разработването и прилагането на Индустрия 4.0; насърчаване на технологичните иновации в българската икономика; изграждане на човешки, научен, организационен и институционален капацитет за развитие на Индустрия 4.0 в България;</w:t>
      </w:r>
    </w:p>
    <w:p w:rsidR="00D7179B" w:rsidRDefault="00D7179B" w:rsidP="0003500E">
      <w:pPr>
        <w:pStyle w:val="Heading1"/>
      </w:pPr>
      <w:r w:rsidRPr="00523C3B">
        <w:lastRenderedPageBreak/>
        <w:t>Цифрова България 2025</w:t>
      </w:r>
      <w:r w:rsidRPr="008428BA">
        <w:t xml:space="preserve"> </w:t>
      </w:r>
    </w:p>
    <w:p w:rsidR="00D7179B" w:rsidRDefault="00D7179B" w:rsidP="00D7179B">
      <w:pPr>
        <w:spacing w:before="120" w:after="0" w:line="276" w:lineRule="auto"/>
        <w:jc w:val="both"/>
        <w:rPr>
          <w:rFonts w:cs="Times New Roman"/>
          <w:szCs w:val="24"/>
        </w:rPr>
      </w:pPr>
      <w:r>
        <w:rPr>
          <w:rFonts w:cs="Times New Roman"/>
          <w:szCs w:val="24"/>
        </w:rPr>
        <w:t xml:space="preserve">Цифровизацията </w:t>
      </w:r>
      <w:r w:rsidRPr="008428BA">
        <w:rPr>
          <w:rFonts w:cs="Times New Roman"/>
          <w:szCs w:val="24"/>
        </w:rPr>
        <w:t xml:space="preserve"> на индустриалните сектори в България и развитието на икономика, базирана на данни, е една от целите в националната програма „Ци</w:t>
      </w:r>
      <w:r>
        <w:rPr>
          <w:rFonts w:cs="Times New Roman"/>
          <w:szCs w:val="24"/>
        </w:rPr>
        <w:t>фрова България 2025“. Подкрепени</w:t>
      </w:r>
      <w:r w:rsidRPr="008428BA">
        <w:rPr>
          <w:rFonts w:cs="Times New Roman"/>
          <w:szCs w:val="24"/>
        </w:rPr>
        <w:t xml:space="preserve"> от структурните фондове на ЕС, програмата очертава мерки за насърчаване на цифровизацията на бизнеса. Средствата от ЕС се разпределят за четири центъра за върхови постижения и девет центъра за компетентност, специализирани в области, включително мехатроника, чисти технологии и информатика. Успоредно с това друг проект, финансиран от ЕС, ще подкрепи създаването на регионални иновационни центрове за сътрудничество между бизнеса и изследователските центрове. Устойчивостта и ефективността на тези проекти са жизненоважни за бъдещи инвестиции по отношение на инфраструктура и меки мерки. </w:t>
      </w:r>
    </w:p>
    <w:p w:rsidR="00D7179B" w:rsidRDefault="00D7179B" w:rsidP="00D7179B">
      <w:pPr>
        <w:spacing w:before="120" w:after="0" w:line="276" w:lineRule="auto"/>
        <w:jc w:val="both"/>
        <w:rPr>
          <w:rFonts w:cs="Times New Roman"/>
          <w:szCs w:val="24"/>
        </w:rPr>
      </w:pPr>
      <w:r w:rsidRPr="008428BA">
        <w:rPr>
          <w:rFonts w:cs="Times New Roman"/>
          <w:szCs w:val="24"/>
        </w:rPr>
        <w:t>Министерството на образованието и науката призна лабораторния комплекс в София Тех Парк за инфраструктура с национ</w:t>
      </w:r>
      <w:r>
        <w:rPr>
          <w:rFonts w:cs="Times New Roman"/>
          <w:szCs w:val="24"/>
        </w:rPr>
        <w:t>ално значение. Съответно са отпуснати</w:t>
      </w:r>
      <w:r w:rsidRPr="008428BA">
        <w:rPr>
          <w:rFonts w:cs="Times New Roman"/>
          <w:szCs w:val="24"/>
        </w:rPr>
        <w:t xml:space="preserve"> 485 00</w:t>
      </w:r>
      <w:r>
        <w:rPr>
          <w:rFonts w:cs="Times New Roman"/>
          <w:szCs w:val="24"/>
        </w:rPr>
        <w:t xml:space="preserve">0 евро за 2019-2020 г. за </w:t>
      </w:r>
      <w:r w:rsidRPr="008428BA">
        <w:rPr>
          <w:rFonts w:cs="Times New Roman"/>
          <w:szCs w:val="24"/>
        </w:rPr>
        <w:t xml:space="preserve"> 11 високотехнологични лаборатории, които работят в области, включително AI, HPC и биотехнологии. България е член-учредител на съвместното предприятие EuroHPC. София Тех Парк ще бъде домакин на суперкомпютърна система Petascale с подкрепата на Министерст</w:t>
      </w:r>
      <w:r>
        <w:rPr>
          <w:rFonts w:cs="Times New Roman"/>
          <w:szCs w:val="24"/>
        </w:rPr>
        <w:t xml:space="preserve">вото на икономиката. 6 </w:t>
      </w:r>
      <w:r w:rsidRPr="00355E9B">
        <w:rPr>
          <w:rFonts w:cs="Times New Roman"/>
          <w:szCs w:val="24"/>
        </w:rPr>
        <w:t>petaflops</w:t>
      </w:r>
      <w:r w:rsidRPr="008428BA">
        <w:rPr>
          <w:rFonts w:cs="Times New Roman"/>
          <w:szCs w:val="24"/>
        </w:rPr>
        <w:t xml:space="preserve"> </w:t>
      </w:r>
      <w:r>
        <w:rPr>
          <w:rFonts w:cs="Times New Roman"/>
          <w:szCs w:val="24"/>
        </w:rPr>
        <w:t>суперкомпютър</w:t>
      </w:r>
      <w:r w:rsidRPr="008428BA">
        <w:rPr>
          <w:rFonts w:cs="Times New Roman"/>
          <w:szCs w:val="24"/>
        </w:rPr>
        <w:t xml:space="preserve"> ще бъде позициониран в София Тех Парк след изпълнението на проек</w:t>
      </w:r>
      <w:r>
        <w:rPr>
          <w:rFonts w:cs="Times New Roman"/>
          <w:szCs w:val="24"/>
        </w:rPr>
        <w:t xml:space="preserve">та EuroHPC, един от петте </w:t>
      </w:r>
      <w:r w:rsidRPr="008428BA">
        <w:rPr>
          <w:rFonts w:cs="Times New Roman"/>
          <w:szCs w:val="24"/>
        </w:rPr>
        <w:t xml:space="preserve"> Petascale</w:t>
      </w:r>
      <w:r>
        <w:rPr>
          <w:rFonts w:cs="Times New Roman"/>
          <w:szCs w:val="24"/>
        </w:rPr>
        <w:t xml:space="preserve"> </w:t>
      </w:r>
      <w:r w:rsidRPr="008428BA">
        <w:rPr>
          <w:rFonts w:cs="Times New Roman"/>
          <w:szCs w:val="24"/>
        </w:rPr>
        <w:t>суперкомпютри за повишаване на изчислителната мощ на Европа. След стартирането му България ще се</w:t>
      </w:r>
      <w:r>
        <w:rPr>
          <w:rFonts w:cs="Times New Roman"/>
          <w:szCs w:val="24"/>
        </w:rPr>
        <w:t xml:space="preserve"> превърне в регионален цифров</w:t>
      </w:r>
      <w:r w:rsidRPr="008428BA">
        <w:rPr>
          <w:rFonts w:cs="Times New Roman"/>
          <w:szCs w:val="24"/>
        </w:rPr>
        <w:t xml:space="preserve"> хъб.</w:t>
      </w:r>
    </w:p>
    <w:p w:rsidR="0003500E" w:rsidRPr="0003500E" w:rsidRDefault="00D7179B" w:rsidP="0003500E">
      <w:pPr>
        <w:pStyle w:val="Heading1"/>
      </w:pPr>
      <w:r w:rsidRPr="0003500E">
        <w:rPr>
          <w:rStyle w:val="Heading1Char"/>
          <w:i/>
        </w:rPr>
        <w:t>Цифрови технологии в Плана за възстановяване и устойчивост на България</w:t>
      </w:r>
      <w:r w:rsidRPr="0003500E">
        <w:t xml:space="preserve"> </w:t>
      </w:r>
    </w:p>
    <w:p w:rsidR="00D7179B" w:rsidRDefault="00D7179B" w:rsidP="00D7179B">
      <w:pPr>
        <w:spacing w:before="120" w:after="0" w:line="276" w:lineRule="auto"/>
        <w:jc w:val="both"/>
        <w:rPr>
          <w:rFonts w:cs="Times New Roman"/>
          <w:szCs w:val="24"/>
        </w:rPr>
      </w:pPr>
      <w:r w:rsidRPr="00061F1A">
        <w:rPr>
          <w:rFonts w:cs="Times New Roman"/>
          <w:szCs w:val="24"/>
        </w:rPr>
        <w:t>Общият бюджет на Плана за възстановяване и устойчивост на България е близо 6,9 млрд. евро, от които 6,3 млрд. евро ще бъдат финансирани под формата на безвъзмездни средства от Механизма за възстановяване и устойчивост. Планът се състои общо от дванадесет компонента, в четири политически стълба: 1) Иновативна България, 2) Зелена България, 3) Свързана България и 4) Справедлива България. Цифровите предизвикателства за България са свързани с недостатъчна свързаност чрез мреж</w:t>
      </w:r>
      <w:r>
        <w:rPr>
          <w:rFonts w:cs="Times New Roman"/>
          <w:szCs w:val="24"/>
        </w:rPr>
        <w:t>и с много голям капацитет, недостатъчно</w:t>
      </w:r>
      <w:r w:rsidRPr="00061F1A">
        <w:rPr>
          <w:rFonts w:cs="Times New Roman"/>
          <w:szCs w:val="24"/>
        </w:rPr>
        <w:t xml:space="preserve"> предлагане и усвояване на цифрови обществени услуги, ниско ниво на цифрови умения и ограничено усвояване на цифровите технологии от предприятията. </w:t>
      </w:r>
    </w:p>
    <w:p w:rsidR="00D7179B" w:rsidRPr="000624EA" w:rsidRDefault="00D7179B" w:rsidP="0003500E">
      <w:pPr>
        <w:pStyle w:val="Heading1"/>
      </w:pPr>
      <w:r w:rsidRPr="000624EA">
        <w:t xml:space="preserve">Ключови мерки за цифровия преход </w:t>
      </w:r>
    </w:p>
    <w:p w:rsidR="00D7179B" w:rsidRPr="00355E9B" w:rsidRDefault="00D7179B" w:rsidP="00D7179B">
      <w:pPr>
        <w:spacing w:before="120" w:after="0" w:line="276" w:lineRule="auto"/>
        <w:jc w:val="both"/>
        <w:rPr>
          <w:rFonts w:cs="Times New Roman"/>
          <w:szCs w:val="24"/>
        </w:rPr>
      </w:pPr>
      <w:r w:rsidRPr="00061F1A">
        <w:rPr>
          <w:rFonts w:cs="Times New Roman"/>
          <w:szCs w:val="24"/>
        </w:rPr>
        <w:t xml:space="preserve">Планът за възстановяване и устойчивост на България подкрепя цифровия преход с реформи и инвестиции, насочени към увеличаване на покритието на мрежи с много голям капацитет в цялата страна, включително в селските и слабонаселените райони (270 млн. евро); повишаване на цифровите умения на населението (319 млн. евро); подобряване на цифровизацията на публичната администрация и предоставянето на цифрови обществени услуги в ключови области като правосъдие, пощенски услуги, здравеопазване, заетост и социална защита (297 милиона евро); подкрепа за цифровизацията на бизнеса (15,7 млн. евро), както и на транспортния (202,6 млн. евро) и енергийния сектор (75,7 млн. евро). </w:t>
      </w:r>
      <w:r w:rsidRPr="000624EA">
        <w:rPr>
          <w:rFonts w:cs="Times New Roman"/>
          <w:i/>
          <w:szCs w:val="24"/>
        </w:rPr>
        <w:lastRenderedPageBreak/>
        <w:t>Примерен проект</w:t>
      </w:r>
      <w:r w:rsidRPr="00061F1A">
        <w:rPr>
          <w:rFonts w:cs="Times New Roman"/>
          <w:szCs w:val="24"/>
        </w:rPr>
        <w:t>: Мащабно внедряване на цифрова инфраструктура</w:t>
      </w:r>
      <w:r>
        <w:rPr>
          <w:rFonts w:cs="Times New Roman"/>
          <w:szCs w:val="24"/>
        </w:rPr>
        <w:t>.</w:t>
      </w:r>
      <w:r w:rsidRPr="00061F1A">
        <w:rPr>
          <w:rFonts w:cs="Times New Roman"/>
          <w:szCs w:val="24"/>
        </w:rPr>
        <w:t xml:space="preserve"> България планира да инвестира значително (270 милиона</w:t>
      </w:r>
      <w:r>
        <w:rPr>
          <w:rFonts w:cs="Times New Roman"/>
          <w:szCs w:val="24"/>
        </w:rPr>
        <w:t xml:space="preserve"> евро) в</w:t>
      </w:r>
      <w:r w:rsidRPr="00061F1A">
        <w:rPr>
          <w:rFonts w:cs="Times New Roman"/>
          <w:szCs w:val="24"/>
        </w:rPr>
        <w:t xml:space="preserve"> мрежи с много голям капацитет в цялата страна. Проектът ще има за цел надграждане и разширяване на покритието на държавната мрежа до всички общински центрове и осигуряване на покритие с VHCN в райони, където тази инфраструктура е малко вероятно да бъде развита скоро поради липса на пазарен интерес („бели зони“). Това ще допринесе за на</w:t>
      </w:r>
      <w:r>
        <w:rPr>
          <w:rFonts w:cs="Times New Roman"/>
          <w:szCs w:val="24"/>
        </w:rPr>
        <w:t>маляване на разделението град-</w:t>
      </w:r>
      <w:r w:rsidRPr="00061F1A">
        <w:rPr>
          <w:rFonts w:cs="Times New Roman"/>
          <w:szCs w:val="24"/>
        </w:rPr>
        <w:t xml:space="preserve"> село и за създаване на предпоставки за равен достъп до високоскоростни услуги за свързаност за всички граждани.</w:t>
      </w:r>
    </w:p>
    <w:p w:rsidR="0003500E" w:rsidRDefault="00D7179B" w:rsidP="0003500E">
      <w:pPr>
        <w:pStyle w:val="Heading1"/>
      </w:pPr>
      <w:r w:rsidRPr="00E6217D">
        <w:t>Национална стратегия за изкуствен интелект</w:t>
      </w:r>
      <w:r w:rsidRPr="00061F1A">
        <w:t xml:space="preserve"> </w:t>
      </w:r>
    </w:p>
    <w:p w:rsidR="00D7179B" w:rsidRDefault="00D7179B" w:rsidP="00D7179B">
      <w:pPr>
        <w:spacing w:before="120" w:after="0" w:line="276" w:lineRule="auto"/>
        <w:jc w:val="both"/>
        <w:rPr>
          <w:rFonts w:cs="Times New Roman"/>
          <w:szCs w:val="24"/>
        </w:rPr>
      </w:pPr>
      <w:r w:rsidRPr="00061F1A">
        <w:rPr>
          <w:rFonts w:cs="Times New Roman"/>
          <w:szCs w:val="24"/>
        </w:rPr>
        <w:t>На 19 август 2020 г. Министерство</w:t>
      </w:r>
      <w:r w:rsidR="0003500E">
        <w:rPr>
          <w:rFonts w:cs="Times New Roman"/>
          <w:szCs w:val="24"/>
        </w:rPr>
        <w:t>то</w:t>
      </w:r>
      <w:r w:rsidRPr="00061F1A">
        <w:rPr>
          <w:rFonts w:cs="Times New Roman"/>
          <w:szCs w:val="24"/>
        </w:rPr>
        <w:t xml:space="preserve"> на транспорта, информационните технологии и съобщенията публикува нов проект на стратегия, озаглавен „Концепция за развитие на изкуствения интелект в България до 2030 г.“. Тя има за цел да определи фокусни области за изграждане на научен и експертен капацитет за разработване и внедряване на системи за ИИ и надграждане на мерките и дейностите, определени кат</w:t>
      </w:r>
      <w:r>
        <w:rPr>
          <w:rFonts w:cs="Times New Roman"/>
          <w:szCs w:val="24"/>
        </w:rPr>
        <w:t xml:space="preserve">о приоритетни в други </w:t>
      </w:r>
      <w:r w:rsidRPr="00061F1A">
        <w:rPr>
          <w:rFonts w:cs="Times New Roman"/>
          <w:szCs w:val="24"/>
        </w:rPr>
        <w:t xml:space="preserve"> национални стратегически док</w:t>
      </w:r>
      <w:r>
        <w:rPr>
          <w:rFonts w:cs="Times New Roman"/>
          <w:szCs w:val="24"/>
        </w:rPr>
        <w:t>ументи, включително</w:t>
      </w:r>
      <w:r w:rsidRPr="00061F1A">
        <w:rPr>
          <w:rFonts w:cs="Times New Roman"/>
          <w:szCs w:val="24"/>
        </w:rPr>
        <w:t xml:space="preserve"> „Визия, цели и приоритети за Националната програма за развитие: България 2030“. Основните области на въздействие и мерките, които се предвиждат, са: Изграждане на надеждна инфраструктура за развитие на ИИ, което включва събиране и споделяне на д</w:t>
      </w:r>
      <w:r>
        <w:rPr>
          <w:rFonts w:cs="Times New Roman"/>
          <w:szCs w:val="24"/>
        </w:rPr>
        <w:t>анни в частния сектор</w:t>
      </w:r>
      <w:r w:rsidRPr="00061F1A">
        <w:rPr>
          <w:rFonts w:cs="Times New Roman"/>
          <w:szCs w:val="24"/>
        </w:rPr>
        <w:t>; Развитие на изследователския капацитет за научни постижения чрез засилено международно научно сътрудничество и връзки наука-бизнес и създаване на български център за върхови постижения в ИИ; Създаване на знания и умения за разработване и използване на ИИ, включително професионално обучение, преквалификация и учене през целия живот; Подкрепа за иновации с цел прилагане на AI на практика чрез стартиране на редица проекти като „Живи лаборатории“, насочени към МСП и платформи за предаване на данни в реално време, които биха могли да бъдат особено полезни за секторите на селското стопанство и електронното здравеопазване; Повишаване на осведомеността и изграждане на доверие в обществото по отношение на AI чрез създаване на нови комуникационни канали и стимулиране на активното споделяне на добри практики и успешни истории;</w:t>
      </w:r>
    </w:p>
    <w:p w:rsidR="00D7179B" w:rsidRDefault="00D7179B" w:rsidP="00D7179B">
      <w:pPr>
        <w:spacing w:before="120" w:after="0" w:line="276" w:lineRule="auto"/>
        <w:jc w:val="both"/>
        <w:rPr>
          <w:rFonts w:cs="Times New Roman"/>
          <w:szCs w:val="24"/>
        </w:rPr>
      </w:pPr>
      <w:r w:rsidRPr="00061F1A">
        <w:rPr>
          <w:rFonts w:cs="Times New Roman"/>
          <w:szCs w:val="24"/>
        </w:rPr>
        <w:t>Създаване на регулаторна рамка за разработване и използване на надежден AI в съответствие с международните регулаторни и етични стандарти; това ще започне с първоначална оценка на приложимостта и ефективността на съществуващите регулаторни мерки; Създаване на условия за финансиране и устойчиви инвестиции за развитие на ИИ с национални и европейски средства.</w:t>
      </w:r>
    </w:p>
    <w:p w:rsidR="0003500E" w:rsidRDefault="00D7179B" w:rsidP="0003500E">
      <w:pPr>
        <w:pStyle w:val="Heading1"/>
      </w:pPr>
      <w:r w:rsidRPr="00E6217D">
        <w:t>Концепция за развитие на ИИ в България до 2030 г</w:t>
      </w:r>
      <w:r w:rsidRPr="00061F1A">
        <w:t xml:space="preserve">. </w:t>
      </w:r>
    </w:p>
    <w:p w:rsidR="00D7179B" w:rsidRDefault="00D7179B" w:rsidP="00D7179B">
      <w:pPr>
        <w:spacing w:before="120" w:after="0" w:line="276" w:lineRule="auto"/>
        <w:jc w:val="both"/>
        <w:rPr>
          <w:rFonts w:cs="Times New Roman"/>
          <w:szCs w:val="24"/>
        </w:rPr>
      </w:pPr>
      <w:r w:rsidRPr="00061F1A">
        <w:rPr>
          <w:rFonts w:cs="Times New Roman"/>
          <w:szCs w:val="24"/>
        </w:rPr>
        <w:t xml:space="preserve">През юни 2020 г. екип от представители на Българската академия на науките (БАН), съвместно с външни експерти, разработи проект на документ за развитието на ИИ в България до 2030 г., наречен „Изкуствен интелект за Интелигентен растеж”. Концепцията предлага цялостна визия за развитието и използването на ИИ в България. Той се основава </w:t>
      </w:r>
      <w:r w:rsidRPr="00061F1A">
        <w:rPr>
          <w:rFonts w:cs="Times New Roman"/>
          <w:szCs w:val="24"/>
        </w:rPr>
        <w:lastRenderedPageBreak/>
        <w:t xml:space="preserve">на стратегическите и програмни документи на Европейската комисия, които разглеждат ИИ като един от основните двигатели на цифровата трансформация в Европа и важен ключов фактор за осигуряване на конкурентоспособност на европейската икономика и високо качество на живот. Концепцията очертава основните предпоставки и предизвикателства пред развитието на ИИ в България за периода 2020-2030 г. Той също така включва преглед на съществуващите стратегии и проекти за развитие на България през следващите години </w:t>
      </w:r>
      <w:r>
        <w:rPr>
          <w:rFonts w:cs="Times New Roman"/>
          <w:szCs w:val="24"/>
        </w:rPr>
        <w:t>.</w:t>
      </w:r>
    </w:p>
    <w:p w:rsidR="00D7179B" w:rsidRPr="00355E9B" w:rsidRDefault="00D7179B" w:rsidP="00D7179B">
      <w:pPr>
        <w:spacing w:before="120" w:after="0" w:line="276" w:lineRule="auto"/>
        <w:jc w:val="both"/>
        <w:rPr>
          <w:rFonts w:cs="Times New Roman"/>
          <w:szCs w:val="24"/>
        </w:rPr>
      </w:pPr>
      <w:r w:rsidRPr="00061F1A">
        <w:rPr>
          <w:rFonts w:cs="Times New Roman"/>
          <w:szCs w:val="24"/>
        </w:rPr>
        <w:t>България е страна по Декларацията за сътрудничество в областта на изкуствения интелект</w:t>
      </w:r>
    </w:p>
    <w:p w:rsidR="0003500E" w:rsidRDefault="00D7179B" w:rsidP="0003500E">
      <w:pPr>
        <w:pStyle w:val="Heading1"/>
      </w:pPr>
      <w:r w:rsidRPr="00E6217D">
        <w:t>Етика на ИИ</w:t>
      </w:r>
      <w:r w:rsidRPr="00061F1A">
        <w:t xml:space="preserve">: </w:t>
      </w:r>
      <w:r w:rsidRPr="00E6217D">
        <w:t>българска</w:t>
      </w:r>
      <w:r w:rsidR="00736B53">
        <w:t>та</w:t>
      </w:r>
      <w:bookmarkStart w:id="0" w:name="_GoBack"/>
      <w:bookmarkEnd w:id="0"/>
      <w:r w:rsidRPr="00E6217D">
        <w:t xml:space="preserve"> гледна точка</w:t>
      </w:r>
      <w:r w:rsidRPr="00061F1A">
        <w:t xml:space="preserve"> </w:t>
      </w:r>
    </w:p>
    <w:p w:rsidR="00D7179B" w:rsidRDefault="00D7179B" w:rsidP="00D7179B">
      <w:pPr>
        <w:spacing w:before="120" w:after="0" w:line="276" w:lineRule="auto"/>
        <w:jc w:val="both"/>
        <w:rPr>
          <w:rFonts w:cs="Times New Roman"/>
          <w:szCs w:val="24"/>
        </w:rPr>
      </w:pPr>
      <w:r w:rsidRPr="00061F1A">
        <w:rPr>
          <w:rFonts w:cs="Times New Roman"/>
          <w:szCs w:val="24"/>
        </w:rPr>
        <w:t>Етичното измерение на иновациите, свързани с ИИ, играе основна роля в социалното приемане на ИТ системите</w:t>
      </w:r>
      <w:r>
        <w:rPr>
          <w:rFonts w:cs="Times New Roman"/>
          <w:szCs w:val="24"/>
        </w:rPr>
        <w:t xml:space="preserve">, използващи възможностите </w:t>
      </w:r>
      <w:r w:rsidRPr="00061F1A">
        <w:rPr>
          <w:rFonts w:cs="Times New Roman"/>
          <w:szCs w:val="24"/>
        </w:rPr>
        <w:t xml:space="preserve"> на ИИ, </w:t>
      </w:r>
      <w:r>
        <w:rPr>
          <w:rFonts w:cs="Times New Roman"/>
          <w:szCs w:val="24"/>
        </w:rPr>
        <w:t xml:space="preserve">както базирани на знания, така и </w:t>
      </w:r>
      <w:r w:rsidRPr="00061F1A">
        <w:rPr>
          <w:rFonts w:cs="Times New Roman"/>
          <w:szCs w:val="24"/>
        </w:rPr>
        <w:t xml:space="preserve"> базиран</w:t>
      </w:r>
      <w:r>
        <w:rPr>
          <w:rFonts w:cs="Times New Roman"/>
          <w:szCs w:val="24"/>
        </w:rPr>
        <w:t>и</w:t>
      </w:r>
      <w:r w:rsidRPr="00061F1A">
        <w:rPr>
          <w:rFonts w:cs="Times New Roman"/>
          <w:szCs w:val="24"/>
        </w:rPr>
        <w:t xml:space="preserve"> на данни. В ЕС приемането на Насоките за етика за надежден ИИ от Експертната група на високо равнище по ИИ през 2019 г. без съмнение беше голямо постижение, тъй като предостави трикомпонентна аналитична рамка за социално-техническа </w:t>
      </w:r>
      <w:r>
        <w:rPr>
          <w:rFonts w:cs="Times New Roman"/>
          <w:szCs w:val="24"/>
        </w:rPr>
        <w:t>оценка на ИИ през целия жизнен</w:t>
      </w:r>
      <w:r w:rsidRPr="00061F1A">
        <w:rPr>
          <w:rFonts w:cs="Times New Roman"/>
          <w:szCs w:val="24"/>
        </w:rPr>
        <w:t xml:space="preserve"> цикъл на системата. Това, че надеждният ИИ трябва да бъде законен, етичен и стабилен, вече </w:t>
      </w:r>
      <w:r>
        <w:rPr>
          <w:rFonts w:cs="Times New Roman"/>
          <w:szCs w:val="24"/>
        </w:rPr>
        <w:t>е общоприето в ЕС. Е</w:t>
      </w:r>
      <w:r w:rsidRPr="00061F1A">
        <w:rPr>
          <w:rFonts w:cs="Times New Roman"/>
          <w:szCs w:val="24"/>
        </w:rPr>
        <w:t xml:space="preserve">тичните изисквания на надежден AI изискват системата да бъде приведена в съответствие с определени етични принципи и ценности. Докато европейският надежден ИИ несъмнено се основава на тези ценности, наивно е да се вярва, че социокултурните различия между държавите-членки няма да играят роля в начина, по който ИИ се разработва и внедрява в ЕС. Особеностите на българския исторически и социокултурен контекст подсказват, че някои предизвикателства може да са по-ясно изразени тук и може да се наложи да бъдат насочени конкретно от местния бизнес, индустрията и неправителствените общности. В контекста на България има няколко специфични за страната етични проблеми, свързани с ИИ, които изискват съвместни решения. Първият е въпросът как технологиите за изкуствен интелект, използвани за генериране на фалшиви новини, могат да се намесят в свободата на </w:t>
      </w:r>
      <w:r>
        <w:rPr>
          <w:rFonts w:cs="Times New Roman"/>
          <w:szCs w:val="24"/>
        </w:rPr>
        <w:t xml:space="preserve">изразяване и нейното </w:t>
      </w:r>
      <w:r w:rsidRPr="00061F1A">
        <w:rPr>
          <w:rFonts w:cs="Times New Roman"/>
          <w:szCs w:val="24"/>
        </w:rPr>
        <w:t xml:space="preserve"> право да се разпространява информация. На фона на глобалната пандемия, причинена от COVID-19, станахме свидетели на това как широко разпространените фалшиви новини и други манипулативни техники, в много случаи подсилени от ИИ, са в състояние да окажат решаващо влияние върху личните убеждения на индивида. Кампаниите против ваксините, конспиративните теории за произхода на SARS-CoV-2 или фалшивите данни за броя на жертвите на пандемията подкопаха общественото доверие в институциите.</w:t>
      </w:r>
    </w:p>
    <w:p w:rsidR="00D7179B" w:rsidRDefault="00D7179B" w:rsidP="00D7179B">
      <w:pPr>
        <w:spacing w:before="120" w:after="0" w:line="276" w:lineRule="auto"/>
        <w:jc w:val="both"/>
        <w:rPr>
          <w:rFonts w:cs="Times New Roman"/>
          <w:szCs w:val="24"/>
        </w:rPr>
      </w:pPr>
      <w:r w:rsidRPr="00061F1A">
        <w:rPr>
          <w:rFonts w:cs="Times New Roman"/>
          <w:szCs w:val="24"/>
        </w:rPr>
        <w:t xml:space="preserve">Българското общество е все по-уязвимо към манипулация в резултат на сложни технологии, управлявани от AI, които непрекъснато обслужват потребителите на популярни платформи с манипулативно и измамно съдържание, способно да се намеси в личната им автономия. Ефектът на разпространение на този етичен въпрос може да се види в много други области на социалния живот. Такива вредни практики могат да попречат не само на свободата на изразяване и правото на разпространяване на информация, но също така могат да доведат до дискриминационни практики срещу уязвими групи. Освен това импулсивното вземане </w:t>
      </w:r>
      <w:r w:rsidRPr="00061F1A">
        <w:rPr>
          <w:rFonts w:cs="Times New Roman"/>
          <w:szCs w:val="24"/>
        </w:rPr>
        <w:lastRenderedPageBreak/>
        <w:t>на решения, водено от фалшиви медийни съобщения, може да доведе до намеса в правото на индивида на здравеопазване. Доклади от цял свят показаха драматични кадри на хора на смъртното си легло, които отказват да повярват, че умират в резултат на COVID-19. Други са избрали да не търсят медицинска помощ с убеждението, че COVID-19 не е сериозно заболяване. Следователно българската AI общност трябва да търси начини за смекчаване на тези неблагоприятни въздействия чрез създаване на решения за откриване на източници на фалшиви новини и използване на действителните възможности на AI за борба с това вредно явление. Вторият проблем се отнася до практиките за набиране на персонал, които се очаква все повече да разчитат на управлявани от AI технологии за предварителна проверка на допустимостта на кандидатите. Член 22 от Общия регламент относно защитата на данните дава на лицата правото да не бъдат обект на решение, основаващо се единствено на автоматизирана обработка, включително профилиране, което поражда правни последици за тях или по подобен начин ги засяга значително, но за много хора това би означавало малко на практика . Търсещите работа в много сектори на икономиката нямат подходящите основни познания, за да са наясно дори с факта, че кандидатурата им може да е била подложена на автоматизирано вземане на решения. Дори в случаите, когато те знаят, упражняването на това право може да е трудно от практическа гледна точка, просто защото много от набиращите персонал може дори сами да не знаят защо е взето определено решение. Това създава много морални въпроси, засягащи не само човешкото достойнство на индивидите, но и потенциала за незаконна дискриминация.</w:t>
      </w:r>
    </w:p>
    <w:p w:rsidR="00D7179B" w:rsidRDefault="00D7179B" w:rsidP="00D7179B">
      <w:pPr>
        <w:spacing w:before="120" w:after="0" w:line="276" w:lineRule="auto"/>
        <w:jc w:val="both"/>
        <w:rPr>
          <w:rFonts w:cs="Times New Roman"/>
          <w:szCs w:val="24"/>
        </w:rPr>
      </w:pPr>
      <w:r w:rsidRPr="00061F1A">
        <w:rPr>
          <w:rFonts w:cs="Times New Roman"/>
          <w:szCs w:val="24"/>
        </w:rPr>
        <w:t>Изследователската общност на AI и индустрията трябва да работят заедно, за да създадат решения, които са съобразени със спецификата на българския пазар на труда, общата осведоменост за трудовите права и които улесняват правото на хората да имат човешка намеса в процеса на вземане на решения по смислен начин. . Дискриминацията представлява трети набор от хоризонтални проблеми, които могат да обхващат много различни области. Добре известните проблеми с дискриминацията срещу малцинствата и други уязвими групи в българското общество могат да бъдат подсилени чрез внедряването на AI решения, които могат да разчитат на местни, но пристрастни набори от данни. Наистина, широко</w:t>
      </w:r>
      <w:r>
        <w:rPr>
          <w:rFonts w:cs="Times New Roman"/>
          <w:szCs w:val="24"/>
        </w:rPr>
        <w:t xml:space="preserve"> разпространените </w:t>
      </w:r>
      <w:r w:rsidRPr="00061F1A">
        <w:rPr>
          <w:rFonts w:cs="Times New Roman"/>
          <w:szCs w:val="24"/>
        </w:rPr>
        <w:t xml:space="preserve"> проблеми с дискриминацията и социалното изключване могат да бъдат смекчени само чрез възприемане на местни практики за събиране и обработка на данни, които се основават на принципите на равенство, многообразие и социално включване. С други думи, AI решенията трябва да бъдат обучени и тествани с набори от данни, представителни за характеристиките и нуждите на засегнатото население. Друг въпрос се отнася до проблема с интерпретируемостта и обяснимостта на вземането на решения с ИИ. Въпреки че този аспект е свързан с втория и третия въпрос относно вредните практики за набиране на персонал и дискриминацията, той също е отделен проблем сам по себе си. Поради споменатите геополитически, исторически и социокултурни особености, обясненията за вземане на решения, управлявани от ИИ, създадени в западноевропейски, американски или китайски контекст, е малко вероятно да имат предвиденото положителн</w:t>
      </w:r>
      <w:r>
        <w:rPr>
          <w:rFonts w:cs="Times New Roman"/>
          <w:szCs w:val="24"/>
        </w:rPr>
        <w:t>о въздействие в източноевропейски</w:t>
      </w:r>
      <w:r w:rsidRPr="00061F1A">
        <w:rPr>
          <w:rFonts w:cs="Times New Roman"/>
          <w:szCs w:val="24"/>
        </w:rPr>
        <w:t xml:space="preserve">, и по-конкретно, </w:t>
      </w:r>
      <w:r w:rsidRPr="00061F1A">
        <w:rPr>
          <w:rFonts w:cs="Times New Roman"/>
          <w:szCs w:val="24"/>
        </w:rPr>
        <w:lastRenderedPageBreak/>
        <w:t>български контекст. Може да са необходими чувствителни към културните особености обяснения в определени критични сектори, където се очаква AI да бъде разгърнат в голям мащаб. Това би изисквало инвестиране в социотехнически и социологически проучвания, за да се определи очакваният стандарт за обяснение на конкретно решение в конкретен контекст, който отговаря на нуждите и капацитета на засегнатите лица. Не на последно място, достъпът до и споделянето на данни между различните приоритетни сектори за внедряване на AI – производство, здравеопазване и селско стопанство, е значително предизвикателство, което може да изисква установяване на нови отношения на сътрудничество между необичайни партньори. Необходима е допълнителна работа, за да се определят стимулите за споделяне на данни, които отчитат спецификата на българския пазар на ИИ. Ролята на МСП и НПО в тази насока би била от изключително значение. Наред с анализа на стимулите, има също така необходимост да се раз</w:t>
      </w:r>
      <w:r>
        <w:rPr>
          <w:rFonts w:cs="Times New Roman"/>
          <w:szCs w:val="24"/>
        </w:rPr>
        <w:t xml:space="preserve">гледат проблематичното използване </w:t>
      </w:r>
      <w:r w:rsidRPr="00061F1A">
        <w:rPr>
          <w:rFonts w:cs="Times New Roman"/>
          <w:szCs w:val="24"/>
        </w:rPr>
        <w:t>на науката за данните като част от по-широкия въпрос за етиката на данните. Разработването на рамки за етика на данните, изградени върху принципите на отчетност, справедливост и прозрачност, е задача както за изследователската общност, така и за индустрията. Рамките за етика на данните трябва да отразяват социокултурните специфики на българското общество, като същевременно отчитат общия бизнес климат в страната и най-обещаващите случаи на използване за внедряване на ИИ.</w:t>
      </w:r>
    </w:p>
    <w:p w:rsidR="00D7179B" w:rsidRDefault="00D7179B" w:rsidP="00D7179B">
      <w:pPr>
        <w:spacing w:before="120" w:after="0" w:line="276" w:lineRule="auto"/>
      </w:pPr>
    </w:p>
    <w:sectPr w:rsidR="00D7179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E66" w:rsidRDefault="00EA0E66" w:rsidP="000436D5">
      <w:pPr>
        <w:spacing w:after="0" w:line="240" w:lineRule="auto"/>
      </w:pPr>
      <w:r>
        <w:separator/>
      </w:r>
    </w:p>
  </w:endnote>
  <w:endnote w:type="continuationSeparator" w:id="0">
    <w:p w:rsidR="00EA0E66" w:rsidRDefault="00EA0E66" w:rsidP="00043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099226"/>
      <w:docPartObj>
        <w:docPartGallery w:val="Page Numbers (Bottom of Page)"/>
        <w:docPartUnique/>
      </w:docPartObj>
    </w:sdtPr>
    <w:sdtEndPr>
      <w:rPr>
        <w:noProof/>
      </w:rPr>
    </w:sdtEndPr>
    <w:sdtContent>
      <w:p w:rsidR="000436D5" w:rsidRDefault="000436D5">
        <w:pPr>
          <w:pStyle w:val="Footer"/>
          <w:jc w:val="right"/>
        </w:pPr>
        <w:r>
          <w:fldChar w:fldCharType="begin"/>
        </w:r>
        <w:r>
          <w:instrText xml:space="preserve"> PAGE   \* MERGEFORMAT </w:instrText>
        </w:r>
        <w:r>
          <w:fldChar w:fldCharType="separate"/>
        </w:r>
        <w:r w:rsidR="006A3F02">
          <w:rPr>
            <w:noProof/>
          </w:rPr>
          <w:t>6</w:t>
        </w:r>
        <w:r>
          <w:rPr>
            <w:noProof/>
          </w:rPr>
          <w:fldChar w:fldCharType="end"/>
        </w:r>
      </w:p>
    </w:sdtContent>
  </w:sdt>
  <w:p w:rsidR="000436D5" w:rsidRDefault="00043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E66" w:rsidRDefault="00EA0E66" w:rsidP="000436D5">
      <w:pPr>
        <w:spacing w:after="0" w:line="240" w:lineRule="auto"/>
      </w:pPr>
      <w:r>
        <w:separator/>
      </w:r>
    </w:p>
  </w:footnote>
  <w:footnote w:type="continuationSeparator" w:id="0">
    <w:p w:rsidR="00EA0E66" w:rsidRDefault="00EA0E66" w:rsidP="000436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809F8"/>
    <w:multiLevelType w:val="hybridMultilevel"/>
    <w:tmpl w:val="B6161F4A"/>
    <w:lvl w:ilvl="0" w:tplc="80968D1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4CAB0216"/>
    <w:multiLevelType w:val="hybridMultilevel"/>
    <w:tmpl w:val="5DC6F4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79B"/>
    <w:rsid w:val="0003500E"/>
    <w:rsid w:val="000436D5"/>
    <w:rsid w:val="00081551"/>
    <w:rsid w:val="00402333"/>
    <w:rsid w:val="00491F9A"/>
    <w:rsid w:val="00613648"/>
    <w:rsid w:val="00644075"/>
    <w:rsid w:val="006A3F02"/>
    <w:rsid w:val="00717B56"/>
    <w:rsid w:val="00736B53"/>
    <w:rsid w:val="00D263E6"/>
    <w:rsid w:val="00D7179B"/>
    <w:rsid w:val="00DB3EE4"/>
    <w:rsid w:val="00EA0E66"/>
    <w:rsid w:val="00EB3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C7706-20B1-4E96-85AB-540476C43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79B"/>
    <w:rPr>
      <w:rFonts w:ascii="Times New Roman" w:hAnsi="Times New Roman"/>
      <w:sz w:val="24"/>
      <w:lang w:val="bg-BG"/>
    </w:rPr>
  </w:style>
  <w:style w:type="paragraph" w:styleId="Heading1">
    <w:name w:val="heading 1"/>
    <w:basedOn w:val="Normal"/>
    <w:next w:val="Normal"/>
    <w:link w:val="Heading1Char"/>
    <w:uiPriority w:val="9"/>
    <w:qFormat/>
    <w:rsid w:val="0003500E"/>
    <w:pPr>
      <w:keepNext/>
      <w:keepLines/>
      <w:spacing w:before="240" w:after="0"/>
      <w:outlineLvl w:val="0"/>
    </w:pPr>
    <w:rPr>
      <w:rFonts w:eastAsiaTheme="majorEastAsia" w:cstheme="majorBidi"/>
      <w: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79B"/>
    <w:rPr>
      <w:color w:val="0563C1" w:themeColor="hyperlink"/>
      <w:u w:val="single"/>
    </w:rPr>
  </w:style>
  <w:style w:type="paragraph" w:styleId="ListParagraph">
    <w:name w:val="List Paragraph"/>
    <w:basedOn w:val="Normal"/>
    <w:uiPriority w:val="34"/>
    <w:qFormat/>
    <w:rsid w:val="00D7179B"/>
    <w:pPr>
      <w:ind w:left="720"/>
      <w:contextualSpacing/>
    </w:pPr>
  </w:style>
  <w:style w:type="paragraph" w:styleId="Header">
    <w:name w:val="header"/>
    <w:basedOn w:val="Normal"/>
    <w:link w:val="HeaderChar"/>
    <w:uiPriority w:val="99"/>
    <w:unhideWhenUsed/>
    <w:rsid w:val="000436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6D5"/>
    <w:rPr>
      <w:rFonts w:ascii="Times New Roman" w:hAnsi="Times New Roman"/>
      <w:sz w:val="24"/>
      <w:lang w:val="bg-BG"/>
    </w:rPr>
  </w:style>
  <w:style w:type="paragraph" w:styleId="Footer">
    <w:name w:val="footer"/>
    <w:basedOn w:val="Normal"/>
    <w:link w:val="FooterChar"/>
    <w:uiPriority w:val="99"/>
    <w:unhideWhenUsed/>
    <w:rsid w:val="000436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6D5"/>
    <w:rPr>
      <w:rFonts w:ascii="Times New Roman" w:hAnsi="Times New Roman"/>
      <w:sz w:val="24"/>
      <w:lang w:val="bg-BG"/>
    </w:rPr>
  </w:style>
  <w:style w:type="character" w:styleId="FollowedHyperlink">
    <w:name w:val="FollowedHyperlink"/>
    <w:basedOn w:val="DefaultParagraphFont"/>
    <w:uiPriority w:val="99"/>
    <w:semiHidden/>
    <w:unhideWhenUsed/>
    <w:rsid w:val="000436D5"/>
    <w:rPr>
      <w:color w:val="954F72" w:themeColor="followedHyperlink"/>
      <w:u w:val="single"/>
    </w:rPr>
  </w:style>
  <w:style w:type="character" w:customStyle="1" w:styleId="Heading1Char">
    <w:name w:val="Heading 1 Char"/>
    <w:basedOn w:val="DefaultParagraphFont"/>
    <w:link w:val="Heading1"/>
    <w:uiPriority w:val="9"/>
    <w:rsid w:val="0003500E"/>
    <w:rPr>
      <w:rFonts w:ascii="Times New Roman" w:eastAsiaTheme="majorEastAsia" w:hAnsi="Times New Roman" w:cstheme="majorBidi"/>
      <w:i/>
      <w:sz w:val="24"/>
      <w:szCs w:val="3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eports.seenews.com/ai-report-2022-launch/?utm_source=news&amp;utm_medium=link&amp;utm_campaign=CTA%20News%20AI%20BG%20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2457</Words>
  <Characters>14006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Stoyanova</dc:creator>
  <cp:keywords/>
  <dc:description/>
  <cp:lastModifiedBy>Anelia</cp:lastModifiedBy>
  <cp:revision>9</cp:revision>
  <dcterms:created xsi:type="dcterms:W3CDTF">2023-01-10T08:43:00Z</dcterms:created>
  <dcterms:modified xsi:type="dcterms:W3CDTF">2023-01-22T11:17:00Z</dcterms:modified>
</cp:coreProperties>
</file>