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74" w:rsidRPr="00410845" w:rsidRDefault="00FB3787" w:rsidP="0034202F">
      <w:pPr>
        <w:spacing w:before="120" w:after="0" w:line="276" w:lineRule="auto"/>
        <w:jc w:val="center"/>
        <w:rPr>
          <w:rFonts w:cs="Times New Roman"/>
          <w:b/>
          <w:szCs w:val="24"/>
        </w:rPr>
      </w:pPr>
      <w:r w:rsidRPr="00410845">
        <w:rPr>
          <w:rFonts w:cs="Times New Roman"/>
          <w:b/>
          <w:szCs w:val="24"/>
        </w:rPr>
        <w:t>ОТЧЕТ</w:t>
      </w:r>
    </w:p>
    <w:p w:rsidR="00100874" w:rsidRPr="00410845" w:rsidRDefault="00100874" w:rsidP="0034202F">
      <w:pPr>
        <w:spacing w:before="120" w:after="0" w:line="276" w:lineRule="auto"/>
        <w:jc w:val="center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cs="Times New Roman"/>
          <w:b/>
          <w:szCs w:val="24"/>
        </w:rPr>
        <w:t>по изпълнението на Националната програма „Цифрова България 2025“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</w:p>
    <w:p w:rsidR="00100874" w:rsidRPr="00410845" w:rsidRDefault="00100874" w:rsidP="0034202F">
      <w:pPr>
        <w:spacing w:before="120" w:after="0" w:line="276" w:lineRule="auto"/>
        <w:jc w:val="center"/>
        <w:rPr>
          <w:rFonts w:cs="Times New Roman"/>
          <w:b/>
          <w:szCs w:val="24"/>
        </w:rPr>
      </w:pPr>
      <w:r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>и пътната карта към нея</w:t>
      </w:r>
      <w:r w:rsidR="00430635"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 </w:t>
      </w:r>
      <w:r w:rsidRPr="00410845">
        <w:rPr>
          <w:rFonts w:cs="Times New Roman"/>
          <w:b/>
          <w:szCs w:val="24"/>
        </w:rPr>
        <w:t>към декември 202</w:t>
      </w:r>
      <w:r w:rsidR="00C1164B" w:rsidRPr="00410845">
        <w:rPr>
          <w:rFonts w:cs="Times New Roman"/>
          <w:b/>
          <w:szCs w:val="24"/>
        </w:rPr>
        <w:t>2</w:t>
      </w:r>
      <w:r w:rsidRPr="00410845">
        <w:rPr>
          <w:rFonts w:cs="Times New Roman"/>
          <w:b/>
          <w:szCs w:val="24"/>
        </w:rPr>
        <w:t xml:space="preserve"> г.</w:t>
      </w:r>
    </w:p>
    <w:p w:rsidR="00FC0CBD" w:rsidRPr="00410845" w:rsidRDefault="00FC0CBD" w:rsidP="0034202F">
      <w:pPr>
        <w:widowControl w:val="0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bg-BG"/>
        </w:rPr>
        <w:id w:val="-1719528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34823" w:rsidRPr="00410845" w:rsidRDefault="00534823" w:rsidP="0034202F">
          <w:pPr>
            <w:pStyle w:val="TOCHeading"/>
            <w:spacing w:before="12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g-BG"/>
            </w:rPr>
          </w:pPr>
          <w:r w:rsidRPr="00410845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bg-BG"/>
            </w:rPr>
            <w:t>Съдържание</w:t>
          </w:r>
        </w:p>
        <w:p w:rsidR="00D63ACB" w:rsidRPr="00410845" w:rsidRDefault="00534823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r w:rsidRPr="00410845">
            <w:rPr>
              <w:rFonts w:cs="Times New Roman"/>
              <w:szCs w:val="24"/>
            </w:rPr>
            <w:fldChar w:fldCharType="begin"/>
          </w:r>
          <w:r w:rsidRPr="00410845">
            <w:rPr>
              <w:rFonts w:cs="Times New Roman"/>
              <w:szCs w:val="24"/>
            </w:rPr>
            <w:instrText xml:space="preserve"> TOC \o "1-3" \h \z \u </w:instrText>
          </w:r>
          <w:r w:rsidRPr="00410845">
            <w:rPr>
              <w:rFonts w:cs="Times New Roman"/>
              <w:szCs w:val="24"/>
            </w:rPr>
            <w:fldChar w:fldCharType="separate"/>
          </w:r>
          <w:hyperlink w:anchor="_Toc124780657" w:history="1"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1.</w:t>
            </w:r>
            <w:r w:rsidR="00D63ACB" w:rsidRPr="00410845">
              <w:rPr>
                <w:rFonts w:eastAsiaTheme="minorEastAsia" w:cs="Times New Roman"/>
                <w:noProof/>
                <w:szCs w:val="24"/>
                <w:lang w:eastAsia="bg-BG"/>
              </w:rPr>
              <w:tab/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Справка и обобщени изводи от изпълнението на Националната програма „Цифрова България 2025“</w:t>
            </w:r>
            <w:r w:rsidR="00D63ACB" w:rsidRPr="00410845">
              <w:rPr>
                <w:rStyle w:val="Hyperlink"/>
                <w:rFonts w:eastAsia="Times New Roman" w:cs="Times New Roman"/>
                <w:noProof/>
                <w:szCs w:val="24"/>
                <w:lang w:eastAsia="bg-BG"/>
              </w:rPr>
              <w:t xml:space="preserve"> и пътната карта към нея</w:t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 xml:space="preserve"> към декември 2022 г.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_Toc124780657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2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58" w:history="1"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2.</w:t>
            </w:r>
            <w:r w:rsidR="00D63ACB" w:rsidRPr="00410845">
              <w:rPr>
                <w:rFonts w:eastAsiaTheme="minorEastAsia" w:cs="Times New Roman"/>
                <w:noProof/>
                <w:szCs w:val="24"/>
                <w:lang w:eastAsia="bg-BG"/>
              </w:rPr>
              <w:tab/>
            </w:r>
            <w:r w:rsidR="00D63ACB" w:rsidRPr="00410845">
              <w:rPr>
                <w:rStyle w:val="Hyperlink"/>
                <w:rFonts w:cs="Times New Roman"/>
                <w:noProof/>
                <w:szCs w:val="24"/>
                <w:lang w:bidi="bg-BG"/>
              </w:rPr>
              <w:t xml:space="preserve">Мониторинг - </w:t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Индекс за навлизането на цифровите технологии в икономиката и обществото (DESI)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_Toc124780658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3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59" w:history="1">
            <w:r w:rsidR="00D63ACB" w:rsidRPr="00410845">
              <w:rPr>
                <w:rStyle w:val="Hyperlink"/>
                <w:rFonts w:eastAsiaTheme="majorEastAsia" w:cs="Times New Roman"/>
                <w:b/>
                <w:noProof/>
                <w:szCs w:val="24"/>
              </w:rPr>
              <w:t xml:space="preserve">Човешки капитал - </w:t>
            </w:r>
            <w:r w:rsidR="00D63ACB" w:rsidRPr="00410845">
              <w:rPr>
                <w:rStyle w:val="Hyperlink"/>
                <w:rFonts w:cs="Times New Roman"/>
                <w:i/>
                <w:noProof/>
                <w:szCs w:val="24"/>
              </w:rPr>
              <w:t>включва индикатори които се отнасят до базови и задълбочени умения. Цифровите умения са  решаваща част от усвояването на ИКТ. Те изглеждат като критичен недостиг в развитието на цифровизираната икономика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_Toc124780659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0" w:history="1">
            <w:r w:rsidR="00D63ACB" w:rsidRPr="00410845">
              <w:rPr>
                <w:rStyle w:val="Hyperlink"/>
                <w:rFonts w:eastAsiaTheme="majorEastAsia" w:cs="Times New Roman"/>
                <w:noProof/>
                <w:szCs w:val="24"/>
              </w:rPr>
              <w:t>Поне базови цифрови умения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_Toc124780660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1" w:history="1">
            <w:r w:rsidR="00D63ACB" w:rsidRPr="00410845">
              <w:rPr>
                <w:rStyle w:val="Hyperlink"/>
                <w:rFonts w:eastAsiaTheme="majorEastAsia" w:cs="Times New Roman"/>
                <w:b/>
                <w:noProof/>
                <w:szCs w:val="24"/>
              </w:rPr>
              <w:t xml:space="preserve">Свързаност - </w:t>
            </w:r>
            <w:r w:rsidR="00D63ACB" w:rsidRPr="00410845">
              <w:rPr>
                <w:rStyle w:val="Hyperlink"/>
                <w:rFonts w:eastAsiaTheme="majorEastAsia" w:cs="Times New Roman"/>
                <w:i/>
                <w:noProof/>
                <w:szCs w:val="24"/>
              </w:rPr>
              <w:t>с  най-голямо влияние върху цифровата трансформация в ЕС. Широколентовата скорост има позитивен ефект върху БВП. Затова тази област включва индикатори които измерват цифровата инфраструктура  и качеството на свързаността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_Toc124780661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2" w:history="1">
            <w:r w:rsidR="00D63ACB" w:rsidRPr="00410845">
              <w:rPr>
                <w:rStyle w:val="Hyperlink"/>
                <w:rFonts w:eastAsiaTheme="majorEastAsia" w:cs="Times New Roman"/>
                <w:noProof/>
                <w:szCs w:val="24"/>
              </w:rPr>
              <w:t>Гигабитов интернет за всеки/фиксирани мрежи с много голям капацитет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_Toc124780662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3" w:history="1">
            <w:r w:rsidR="00D63ACB" w:rsidRPr="00410845">
              <w:rPr>
                <w:rStyle w:val="Hyperlink"/>
                <w:rFonts w:eastAsiaTheme="majorEastAsia" w:cs="Times New Roman"/>
                <w:b/>
                <w:noProof/>
                <w:szCs w:val="24"/>
              </w:rPr>
              <w:t xml:space="preserve">Интеграция на цифровите технологии - </w:t>
            </w:r>
            <w:r w:rsidR="00D63ACB" w:rsidRPr="00410845">
              <w:rPr>
                <w:rStyle w:val="Hyperlink"/>
                <w:rFonts w:cs="Times New Roman"/>
                <w:i/>
                <w:noProof/>
                <w:szCs w:val="24"/>
              </w:rPr>
              <w:t>покрива цифровизацията на бизнеса и електронната търговия. Факторите, движещи цифровата трансформация, идват както от страна на гражданите, така и от страна на бизнеса, където решенията и моделите се прилагат за нарастващ брой клиенти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_Toc124780663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4" w:history="1">
            <w:r w:rsidR="00D63ACB" w:rsidRPr="00410845">
              <w:rPr>
                <w:rStyle w:val="Hyperlink"/>
                <w:rFonts w:eastAsiaTheme="majorEastAsia" w:cs="Times New Roman"/>
                <w:noProof/>
                <w:szCs w:val="24"/>
              </w:rPr>
              <w:t>МСП с базово/основно ниво на цифров интензитет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_Toc124780664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5" w:history="1">
            <w:r w:rsidR="00D63ACB" w:rsidRPr="008F1376">
              <w:rPr>
                <w:rStyle w:val="Hyperlink"/>
                <w:rFonts w:eastAsiaTheme="majorEastAsia" w:cs="Times New Roman"/>
                <w:b/>
                <w:noProof/>
                <w:color w:val="auto"/>
                <w:szCs w:val="24"/>
              </w:rPr>
              <w:t>Цифрови обществени услуги за граждани</w:t>
            </w:r>
            <w:r w:rsidR="008F1376">
              <w:rPr>
                <w:rStyle w:val="Hyperlink"/>
                <w:rFonts w:eastAsiaTheme="majorEastAsia" w:cs="Times New Roman"/>
                <w:b/>
                <w:noProof/>
                <w:color w:val="auto"/>
                <w:szCs w:val="24"/>
                <w:lang w:val="en-US"/>
              </w:rPr>
              <w:t xml:space="preserve"> </w:t>
            </w:r>
            <w:r w:rsidR="008F1376">
              <w:rPr>
                <w:rStyle w:val="Hyperlink"/>
                <w:rFonts w:eastAsiaTheme="majorEastAsia" w:cs="Times New Roman"/>
                <w:b/>
                <w:noProof/>
                <w:color w:val="auto"/>
                <w:szCs w:val="24"/>
              </w:rPr>
              <w:t>и бизнес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_Toc124780665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9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6" w:history="1"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3.</w:t>
            </w:r>
            <w:r w:rsidR="00D63ACB" w:rsidRPr="00410845">
              <w:rPr>
                <w:rFonts w:eastAsiaTheme="minorEastAsia" w:cs="Times New Roman"/>
                <w:noProof/>
                <w:szCs w:val="24"/>
                <w:lang w:eastAsia="bg-BG"/>
              </w:rPr>
              <w:tab/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Цифрова трансформация и икономически растеж чрез използване на DESI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_Toc124780666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10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7" w:history="1"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4.</w:t>
            </w:r>
            <w:r w:rsidR="00D63ACB" w:rsidRPr="00410845">
              <w:rPr>
                <w:rFonts w:eastAsiaTheme="minorEastAsia" w:cs="Times New Roman"/>
                <w:noProof/>
                <w:szCs w:val="24"/>
                <w:lang w:eastAsia="bg-BG"/>
              </w:rPr>
              <w:tab/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Поглед към предстоящото - цифрова трансформация на ЕС до 2030 г.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_Toc124780667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11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2"/>
            <w:tabs>
              <w:tab w:val="right" w:leader="dot" w:pos="9283"/>
            </w:tabs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8" w:history="1">
            <w:r w:rsidR="00D63ACB" w:rsidRPr="00410845">
              <w:rPr>
                <w:rStyle w:val="Hyperlink"/>
                <w:rFonts w:eastAsia="Calibri" w:cs="Times New Roman"/>
                <w:b/>
                <w:noProof/>
                <w:szCs w:val="24"/>
              </w:rPr>
              <w:t>Цифров компас за 2030 г.: Как да начертаем пътя към цифровото бъдеще на ЕС?“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_Toc124780668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11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2"/>
            <w:tabs>
              <w:tab w:val="right" w:leader="dot" w:pos="9283"/>
            </w:tabs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69" w:history="1">
            <w:r w:rsidR="00D63ACB" w:rsidRPr="00410845">
              <w:rPr>
                <w:rStyle w:val="Hyperlink"/>
                <w:rFonts w:eastAsiaTheme="majorEastAsia" w:cs="Times New Roman"/>
                <w:b/>
                <w:noProof/>
                <w:szCs w:val="24"/>
              </w:rPr>
              <w:t>Политическа програма на ЕС до 2030 г. „Цифрово десетилетие“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_Toc124780669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11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2"/>
            <w:tabs>
              <w:tab w:val="right" w:leader="dot" w:pos="9283"/>
            </w:tabs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70" w:history="1">
            <w:r w:rsidR="00D63ACB" w:rsidRPr="00410845">
              <w:rPr>
                <w:rStyle w:val="Hyperlink"/>
                <w:rFonts w:eastAsiaTheme="majorEastAsia" w:cs="Times New Roman"/>
                <w:b/>
                <w:noProof/>
                <w:szCs w:val="24"/>
              </w:rPr>
              <w:t>Европейска декларация относно цифровите права и принципи за цифровото десетилетие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_Toc124780670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12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D63ACB" w:rsidRPr="00410845" w:rsidRDefault="00751ABA">
          <w:pPr>
            <w:pStyle w:val="TOC1"/>
            <w:rPr>
              <w:rFonts w:eastAsiaTheme="minorEastAsia" w:cs="Times New Roman"/>
              <w:noProof/>
              <w:szCs w:val="24"/>
              <w:lang w:eastAsia="bg-BG"/>
            </w:rPr>
          </w:pPr>
          <w:hyperlink w:anchor="_Toc124780671" w:history="1"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5.</w:t>
            </w:r>
            <w:r w:rsidR="00D63ACB" w:rsidRPr="00410845">
              <w:rPr>
                <w:rFonts w:eastAsiaTheme="minorEastAsia" w:cs="Times New Roman"/>
                <w:noProof/>
                <w:szCs w:val="24"/>
                <w:lang w:eastAsia="bg-BG"/>
              </w:rPr>
              <w:tab/>
            </w:r>
            <w:r w:rsidR="00D63ACB" w:rsidRPr="00410845">
              <w:rPr>
                <w:rStyle w:val="Hyperlink"/>
                <w:rFonts w:cs="Times New Roman"/>
                <w:noProof/>
                <w:szCs w:val="24"/>
              </w:rPr>
              <w:t>Приложения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tab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instrText xml:space="preserve"> PAGEREF _Toc124780671 \h </w:instrTex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6765DD">
              <w:rPr>
                <w:rFonts w:cs="Times New Roman"/>
                <w:noProof/>
                <w:webHidden/>
                <w:szCs w:val="24"/>
              </w:rPr>
              <w:t>14</w:t>
            </w:r>
            <w:r w:rsidR="00D63ACB" w:rsidRPr="00410845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534823" w:rsidRPr="00410845" w:rsidRDefault="00534823" w:rsidP="0034202F">
          <w:pPr>
            <w:spacing w:before="120" w:after="0" w:line="276" w:lineRule="auto"/>
            <w:rPr>
              <w:rFonts w:cs="Times New Roman"/>
              <w:szCs w:val="24"/>
            </w:rPr>
          </w:pPr>
          <w:r w:rsidRPr="00410845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:rsidR="008A7DEF" w:rsidRPr="00410845" w:rsidRDefault="008A7DEF" w:rsidP="0034202F">
      <w:pPr>
        <w:spacing w:before="120" w:after="0" w:line="276" w:lineRule="auto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br w:type="page"/>
      </w:r>
    </w:p>
    <w:p w:rsidR="00FC0CBD" w:rsidRPr="00410845" w:rsidRDefault="00FC0CBD" w:rsidP="0034202F">
      <w:pPr>
        <w:widowControl w:val="0"/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lastRenderedPageBreak/>
        <w:t xml:space="preserve">Настоящият отчет дава  информация за изпълнението на </w:t>
      </w:r>
      <w:r w:rsidRPr="00410845">
        <w:rPr>
          <w:rFonts w:cs="Times New Roman"/>
          <w:bCs/>
          <w:szCs w:val="24"/>
          <w:lang w:bidi="bg-BG"/>
        </w:rPr>
        <w:t xml:space="preserve">Националната програма „Цифрова България 2025“ и Пътната карта към нея, приети с РМС № 730 от 5.12.2019 г., които се актуализират на годишна база. Традиционно към ежегодния отчет прилагаме полезна информация 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и статистически данни за изминалата година. Разглежда се накратко и потенциал</w:t>
      </w:r>
      <w:r w:rsidR="00E11F8A" w:rsidRPr="00410845">
        <w:rPr>
          <w:rFonts w:eastAsia="Times New Roman" w:cs="Times New Roman"/>
          <w:noProof/>
          <w:color w:val="1A1A1A"/>
          <w:szCs w:val="24"/>
          <w:lang w:eastAsia="bg-BG"/>
        </w:rPr>
        <w:t>а на И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Т сектора в България за икономически растеж, както и рамката на новата европейска цифрова политика до 2030 г.</w:t>
      </w:r>
    </w:p>
    <w:p w:rsidR="00262F35" w:rsidRPr="00410845" w:rsidRDefault="00262F35" w:rsidP="0034202F">
      <w:pPr>
        <w:widowControl w:val="0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</w:p>
    <w:p w:rsidR="00BB2AAD" w:rsidRPr="00410845" w:rsidRDefault="00BD3D98" w:rsidP="0034202F">
      <w:pPr>
        <w:pStyle w:val="Heading1"/>
        <w:numPr>
          <w:ilvl w:val="0"/>
          <w:numId w:val="26"/>
        </w:numPr>
        <w:spacing w:before="120" w:line="276" w:lineRule="auto"/>
        <w:rPr>
          <w:rFonts w:cs="Times New Roman"/>
          <w:szCs w:val="24"/>
        </w:rPr>
      </w:pPr>
      <w:bookmarkStart w:id="0" w:name="_Toc92275727"/>
      <w:bookmarkStart w:id="1" w:name="_Toc124780657"/>
      <w:r w:rsidRPr="00410845">
        <w:rPr>
          <w:rFonts w:cs="Times New Roman"/>
          <w:szCs w:val="24"/>
        </w:rPr>
        <w:t>Справка и о</w:t>
      </w:r>
      <w:r w:rsidR="003A5811" w:rsidRPr="00410845">
        <w:rPr>
          <w:rFonts w:cs="Times New Roman"/>
          <w:szCs w:val="24"/>
        </w:rPr>
        <w:t>бобщени изводи от</w:t>
      </w:r>
      <w:r w:rsidR="00BB2AAD" w:rsidRPr="00410845">
        <w:rPr>
          <w:rFonts w:cs="Times New Roman"/>
          <w:szCs w:val="24"/>
        </w:rPr>
        <w:t xml:space="preserve"> изпълнението на Националната програма „Цифрова България 2025“</w:t>
      </w:r>
      <w:r w:rsidR="00BB2AAD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и</w:t>
      </w:r>
      <w:r w:rsidR="00AE1156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BB2AAD" w:rsidRPr="00410845">
        <w:rPr>
          <w:rFonts w:eastAsia="Times New Roman" w:cs="Times New Roman"/>
          <w:noProof/>
          <w:color w:val="1A1A1A"/>
          <w:szCs w:val="24"/>
          <w:lang w:eastAsia="bg-BG"/>
        </w:rPr>
        <w:t>пътната карта към нея</w:t>
      </w:r>
      <w:r w:rsidR="00150387" w:rsidRPr="00410845">
        <w:rPr>
          <w:rFonts w:cs="Times New Roman"/>
          <w:szCs w:val="24"/>
        </w:rPr>
        <w:t xml:space="preserve"> </w:t>
      </w:r>
      <w:r w:rsidR="00C1164B" w:rsidRPr="00410845">
        <w:rPr>
          <w:rFonts w:cs="Times New Roman"/>
          <w:szCs w:val="24"/>
        </w:rPr>
        <w:t>към декември 2022</w:t>
      </w:r>
      <w:r w:rsidR="00BB2AAD" w:rsidRPr="00410845">
        <w:rPr>
          <w:rFonts w:cs="Times New Roman"/>
          <w:szCs w:val="24"/>
        </w:rPr>
        <w:t xml:space="preserve"> г.</w:t>
      </w:r>
      <w:bookmarkEnd w:id="0"/>
      <w:bookmarkEnd w:id="1"/>
    </w:p>
    <w:p w:rsidR="0086791C" w:rsidRPr="00410845" w:rsidRDefault="0086791C" w:rsidP="0034202F">
      <w:pPr>
        <w:spacing w:before="120" w:after="0" w:line="276" w:lineRule="auto"/>
        <w:jc w:val="both"/>
        <w:rPr>
          <w:rFonts w:cs="Times New Roman"/>
          <w:szCs w:val="24"/>
        </w:rPr>
      </w:pPr>
    </w:p>
    <w:p w:rsidR="0086791C" w:rsidRPr="00410845" w:rsidRDefault="00B925B3" w:rsidP="0034202F">
      <w:pPr>
        <w:spacing w:before="120" w:after="0" w:line="276" w:lineRule="auto"/>
        <w:jc w:val="both"/>
        <w:rPr>
          <w:rFonts w:cs="Times New Roman"/>
          <w:szCs w:val="24"/>
        </w:rPr>
      </w:pPr>
      <w:r>
        <w:rPr>
          <w:noProof/>
          <w:lang w:val="en-US"/>
        </w:rPr>
        <w:drawing>
          <wp:inline distT="0" distB="0" distL="0" distR="0" wp14:anchorId="46F8D7AC" wp14:editId="5376C450">
            <wp:extent cx="5901055" cy="3126105"/>
            <wp:effectExtent l="0" t="0" r="4445" b="171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296" w:rsidRPr="00410845" w:rsidRDefault="0075043E" w:rsidP="0034202F">
      <w:pPr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Изпълнението на мерките от Пътната карта към Националната програма „Цифрова България 2025“ се отчита с натрупване</w:t>
      </w:r>
      <w:r w:rsidR="00882D23" w:rsidRPr="00410845">
        <w:rPr>
          <w:rFonts w:eastAsia="Times New Roman" w:cs="Times New Roman"/>
          <w:noProof/>
          <w:color w:val="1A1A1A"/>
          <w:szCs w:val="24"/>
          <w:lang w:eastAsia="bg-BG"/>
        </w:rPr>
        <w:t>. Някои от изп</w:t>
      </w:r>
      <w:r w:rsidR="00C1164B" w:rsidRPr="00410845">
        <w:rPr>
          <w:rFonts w:eastAsia="Times New Roman" w:cs="Times New Roman"/>
          <w:noProof/>
          <w:color w:val="1A1A1A"/>
          <w:szCs w:val="24"/>
          <w:lang w:eastAsia="bg-BG"/>
        </w:rPr>
        <w:t>ълнените мерки към декември 2022</w:t>
      </w:r>
      <w:r w:rsidR="00882D23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г. може да са </w:t>
      </w:r>
      <w:r w:rsidR="00722C9D" w:rsidRPr="00410845">
        <w:rPr>
          <w:rFonts w:eastAsia="Times New Roman" w:cs="Times New Roman"/>
          <w:noProof/>
          <w:color w:val="1A1A1A"/>
          <w:szCs w:val="24"/>
          <w:lang w:eastAsia="bg-BG"/>
        </w:rPr>
        <w:t>имали</w:t>
      </w:r>
      <w:r w:rsidR="00882D23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722C9D" w:rsidRPr="00410845">
        <w:rPr>
          <w:rFonts w:eastAsia="Times New Roman" w:cs="Times New Roman"/>
          <w:noProof/>
          <w:color w:val="1A1A1A"/>
          <w:szCs w:val="24"/>
          <w:lang w:eastAsia="bg-BG"/>
        </w:rPr>
        <w:t>отложени срокове във времето.</w:t>
      </w:r>
      <w:r w:rsidR="005F5296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Новите </w:t>
      </w:r>
      <w:r w:rsidR="00555DF4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мерки </w:t>
      </w:r>
      <w:r w:rsidR="005F5296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може да са </w:t>
      </w:r>
      <w:r w:rsidR="00555DF4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вече </w:t>
      </w:r>
      <w:r w:rsidR="005F5296" w:rsidRPr="00410845">
        <w:rPr>
          <w:rFonts w:eastAsia="Times New Roman" w:cs="Times New Roman"/>
          <w:noProof/>
          <w:color w:val="1A1A1A"/>
          <w:szCs w:val="24"/>
          <w:lang w:eastAsia="bg-BG"/>
        </w:rPr>
        <w:t>в процес на изпълнение</w:t>
      </w:r>
      <w:r w:rsidR="00555DF4" w:rsidRPr="00410845">
        <w:rPr>
          <w:rFonts w:eastAsia="Times New Roman" w:cs="Times New Roman"/>
          <w:noProof/>
          <w:color w:val="1A1A1A"/>
          <w:szCs w:val="24"/>
          <w:lang w:eastAsia="bg-BG"/>
        </w:rPr>
        <w:t>.</w:t>
      </w:r>
    </w:p>
    <w:p w:rsidR="00BB2AAD" w:rsidRPr="00410845" w:rsidRDefault="003A5811" w:rsidP="0034202F">
      <w:pPr>
        <w:widowControl w:val="0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>О</w:t>
      </w:r>
      <w:r w:rsidR="00BB2AAD"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>бобщени</w:t>
      </w:r>
      <w:r w:rsidR="00BB2AAD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BB2AAD"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>изводи</w:t>
      </w:r>
      <w:r w:rsidR="00FB7A72"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 и важни статистически </w:t>
      </w:r>
      <w:r w:rsidR="0006360A" w:rsidRPr="00410845">
        <w:rPr>
          <w:rFonts w:eastAsia="Times New Roman" w:cs="Times New Roman"/>
          <w:b/>
          <w:noProof/>
          <w:color w:val="1A1A1A"/>
          <w:szCs w:val="24"/>
          <w:lang w:eastAsia="bg-BG"/>
        </w:rPr>
        <w:t>маркери</w:t>
      </w:r>
      <w:r w:rsidR="00BB2AAD" w:rsidRPr="00410845">
        <w:rPr>
          <w:rFonts w:eastAsia="Times New Roman" w:cs="Times New Roman"/>
          <w:noProof/>
          <w:color w:val="1A1A1A"/>
          <w:szCs w:val="24"/>
          <w:lang w:eastAsia="bg-BG"/>
        </w:rPr>
        <w:t>:</w:t>
      </w:r>
    </w:p>
    <w:p w:rsidR="00BB2AAD" w:rsidRPr="00410845" w:rsidRDefault="00BB2AAD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Отпадането </w:t>
      </w:r>
      <w:r w:rsidR="005F5E5B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на мерки 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или удължаването на срока на някои от мерките се дължи на липса на финансиране, структурни промени, актуализация на стратегически документи, епидемиологична обстановка или административни причини</w:t>
      </w:r>
    </w:p>
    <w:p w:rsidR="00300E91" w:rsidRPr="00410845" w:rsidRDefault="00BB2AAD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Процентът на хората, които никога не са използвали интернет </w:t>
      </w:r>
      <w:r w:rsidR="009004B9"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у нас </w:t>
      </w:r>
      <w:r w:rsidR="00926033"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намалява и </w:t>
      </w:r>
      <w:r w:rsidR="00A64258"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 xml:space="preserve">е 12,8 за </w:t>
      </w:r>
      <w:r w:rsidR="00926033" w:rsidRPr="00336091">
        <w:rPr>
          <w:rFonts w:eastAsia="Times New Roman" w:cs="Times New Roman"/>
          <w:b/>
          <w:noProof/>
          <w:color w:val="1A1A1A"/>
          <w:szCs w:val="24"/>
          <w:lang w:val="en-US" w:eastAsia="bg-BG"/>
        </w:rPr>
        <w:t>20</w:t>
      </w:r>
      <w:r w:rsidR="00A64258"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>22</w:t>
      </w:r>
      <w:r w:rsidR="00926033" w:rsidRPr="00336091">
        <w:rPr>
          <w:rFonts w:eastAsia="Times New Roman" w:cs="Times New Roman"/>
          <w:b/>
          <w:noProof/>
          <w:color w:val="1A1A1A"/>
          <w:szCs w:val="24"/>
          <w:lang w:val="en-US" w:eastAsia="bg-BG"/>
        </w:rPr>
        <w:t xml:space="preserve"> </w:t>
      </w:r>
      <w:r w:rsidR="00A64258" w:rsidRPr="00336091">
        <w:rPr>
          <w:rFonts w:eastAsia="Times New Roman" w:cs="Times New Roman"/>
          <w:b/>
          <w:noProof/>
          <w:color w:val="1A1A1A"/>
          <w:szCs w:val="24"/>
          <w:lang w:eastAsia="bg-BG"/>
        </w:rPr>
        <w:t>г.</w:t>
      </w:r>
      <w:r w:rsidR="00A64258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според НСИ</w:t>
      </w:r>
      <w:r w:rsidR="00926033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, при </w:t>
      </w:r>
      <w:r w:rsidR="009004B9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17% </w:t>
      </w:r>
      <w:r w:rsidR="00A64258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през </w:t>
      </w:r>
      <w:r w:rsidR="00926033" w:rsidRPr="00410845">
        <w:rPr>
          <w:rFonts w:eastAsia="Times New Roman" w:cs="Times New Roman"/>
          <w:noProof/>
          <w:color w:val="1A1A1A"/>
          <w:szCs w:val="24"/>
          <w:lang w:eastAsia="bg-BG"/>
        </w:rPr>
        <w:t>20</w:t>
      </w:r>
      <w:r w:rsidR="00A64258" w:rsidRPr="00410845">
        <w:rPr>
          <w:rFonts w:eastAsia="Times New Roman" w:cs="Times New Roman"/>
          <w:noProof/>
          <w:color w:val="1A1A1A"/>
          <w:szCs w:val="24"/>
          <w:lang w:eastAsia="bg-BG"/>
        </w:rPr>
        <w:t>21</w:t>
      </w:r>
      <w:r w:rsidR="00926033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A64258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г. и </w:t>
      </w:r>
      <w:r w:rsidR="004B480E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20,9 %</w:t>
      </w:r>
      <w:r w:rsidR="004B480E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за </w:t>
      </w:r>
      <w:r w:rsidR="00E2431F" w:rsidRPr="00410845">
        <w:rPr>
          <w:rFonts w:eastAsia="Times New Roman" w:cs="Times New Roman"/>
          <w:noProof/>
          <w:color w:val="1A1A1A"/>
          <w:szCs w:val="24"/>
          <w:lang w:eastAsia="bg-BG"/>
        </w:rPr>
        <w:t>2020 година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</w:p>
    <w:p w:rsidR="00BB2AAD" w:rsidRPr="00410845" w:rsidRDefault="00DF0069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cs="Times New Roman"/>
          <w:szCs w:val="24"/>
        </w:rPr>
        <w:t xml:space="preserve">През </w:t>
      </w:r>
      <w:r w:rsidRPr="00336091">
        <w:rPr>
          <w:rFonts w:cs="Times New Roman"/>
          <w:b/>
          <w:szCs w:val="24"/>
        </w:rPr>
        <w:t xml:space="preserve">2022 г. 87.3% от домакинствата в </w:t>
      </w:r>
      <w:r w:rsidRPr="00925130">
        <w:rPr>
          <w:rFonts w:cs="Times New Roman"/>
          <w:b/>
          <w:szCs w:val="24"/>
        </w:rPr>
        <w:t>България имат достъп до интернет в домовете</w:t>
      </w:r>
      <w:r w:rsidRPr="00410845">
        <w:rPr>
          <w:rFonts w:cs="Times New Roman"/>
          <w:szCs w:val="24"/>
        </w:rPr>
        <w:t xml:space="preserve"> си, което е с 3.8 процентни пункта повече в сравнение с предходната година. Запазва се тенденцията на ежегодно нарастване на относителния дял на домакинствата с достъп до интернет, като през периода 2013 - 2022 г. относителният им дял се е у</w:t>
      </w:r>
      <w:r w:rsidR="00926033" w:rsidRPr="00410845">
        <w:rPr>
          <w:rFonts w:cs="Times New Roman"/>
          <w:szCs w:val="24"/>
        </w:rPr>
        <w:t>величил с 33.6 процентни пункта (</w:t>
      </w:r>
      <w:r w:rsidR="004710BC" w:rsidRPr="00410845">
        <w:rPr>
          <w:rFonts w:cs="Times New Roman"/>
          <w:i/>
          <w:szCs w:val="24"/>
        </w:rPr>
        <w:t>НСИ</w:t>
      </w:r>
      <w:r w:rsidR="00926033" w:rsidRPr="00410845">
        <w:rPr>
          <w:rFonts w:cs="Times New Roman"/>
          <w:szCs w:val="24"/>
        </w:rPr>
        <w:t>)</w:t>
      </w:r>
    </w:p>
    <w:p w:rsidR="00E210B3" w:rsidRPr="00410845" w:rsidRDefault="00DF0069" w:rsidP="00336091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lastRenderedPageBreak/>
        <w:t>Проникването на фиксиран широколентов достъп по население</w:t>
      </w:r>
      <w:r w:rsidR="00C8015C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за 2021</w:t>
      </w:r>
      <w:r w:rsidR="00926033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C8015C" w:rsidRPr="00410845">
        <w:rPr>
          <w:rFonts w:eastAsia="Times New Roman" w:cs="Times New Roman"/>
          <w:noProof/>
          <w:color w:val="1A1A1A"/>
          <w:szCs w:val="24"/>
          <w:lang w:eastAsia="bg-BG"/>
        </w:rPr>
        <w:t>г.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бележи </w:t>
      </w:r>
      <w:r w:rsidR="00C8015C" w:rsidRPr="00410845">
        <w:rPr>
          <w:rFonts w:eastAsia="Times New Roman" w:cs="Times New Roman"/>
          <w:noProof/>
          <w:color w:val="1A1A1A"/>
          <w:szCs w:val="24"/>
          <w:lang w:eastAsia="bg-BG"/>
        </w:rPr>
        <w:t>ръст от 4 пункта спрямо предходната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година и 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вече 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е 34,5%</w:t>
      </w:r>
      <w:r w:rsidR="002F24D2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(</w:t>
      </w:r>
      <w:r w:rsidR="002F24D2" w:rsidRPr="00410845">
        <w:rPr>
          <w:rFonts w:eastAsia="Times New Roman" w:cs="Times New Roman"/>
          <w:i/>
          <w:noProof/>
          <w:color w:val="1A1A1A"/>
          <w:szCs w:val="24"/>
          <w:lang w:eastAsia="bg-BG"/>
        </w:rPr>
        <w:t>КРС</w:t>
      </w:r>
      <w:r w:rsidR="002F24D2" w:rsidRPr="00410845">
        <w:rPr>
          <w:rFonts w:eastAsia="Times New Roman" w:cs="Times New Roman"/>
          <w:noProof/>
          <w:color w:val="1A1A1A"/>
          <w:szCs w:val="24"/>
          <w:lang w:eastAsia="bg-BG"/>
        </w:rPr>
        <w:t>)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.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Причината е значителния спад в данните на НСИ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за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броя на населението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и домакинствата съгласно </w:t>
      </w:r>
      <w:proofErr w:type="spellStart"/>
      <w:r w:rsidR="00D8644F" w:rsidRPr="00410845">
        <w:rPr>
          <w:rFonts w:cs="Times New Roman"/>
          <w:szCs w:val="24"/>
          <w:lang w:val="en-US"/>
        </w:rPr>
        <w:t>предварителната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оценка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от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проведеното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през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2021 г. </w:t>
      </w:r>
      <w:proofErr w:type="spellStart"/>
      <w:r w:rsidR="00D8644F" w:rsidRPr="00410845">
        <w:rPr>
          <w:rFonts w:cs="Times New Roman"/>
          <w:szCs w:val="24"/>
          <w:lang w:val="en-US"/>
        </w:rPr>
        <w:t>от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r w:rsidR="00452555" w:rsidRPr="00410845">
        <w:rPr>
          <w:rFonts w:cs="Times New Roman"/>
          <w:szCs w:val="24"/>
          <w:lang w:val="en-US"/>
        </w:rPr>
        <w:t xml:space="preserve">НСИ </w:t>
      </w:r>
      <w:proofErr w:type="spellStart"/>
      <w:r w:rsidR="00452555" w:rsidRPr="00410845">
        <w:rPr>
          <w:rFonts w:cs="Times New Roman"/>
          <w:szCs w:val="24"/>
          <w:lang w:val="en-US"/>
        </w:rPr>
        <w:t>п</w:t>
      </w:r>
      <w:r w:rsidR="00D8644F" w:rsidRPr="00410845">
        <w:rPr>
          <w:rFonts w:cs="Times New Roman"/>
          <w:szCs w:val="24"/>
          <w:lang w:val="en-US"/>
        </w:rPr>
        <w:t>реброяване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на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 </w:t>
      </w:r>
      <w:proofErr w:type="spellStart"/>
      <w:r w:rsidR="00D8644F" w:rsidRPr="00410845">
        <w:rPr>
          <w:rFonts w:cs="Times New Roman"/>
          <w:szCs w:val="24"/>
          <w:lang w:val="en-US"/>
        </w:rPr>
        <w:t>населението</w:t>
      </w:r>
      <w:proofErr w:type="spellEnd"/>
      <w:r w:rsidR="00D8644F" w:rsidRPr="00410845">
        <w:rPr>
          <w:rFonts w:cs="Times New Roman"/>
          <w:szCs w:val="24"/>
          <w:lang w:val="en-US"/>
        </w:rPr>
        <w:t xml:space="preserve">: </w:t>
      </w:r>
      <w:hyperlink r:id="rId9" w:history="1">
        <w:r w:rsidR="00D8644F" w:rsidRPr="00410845">
          <w:rPr>
            <w:rStyle w:val="Hyperlink"/>
            <w:rFonts w:cs="Times New Roman"/>
            <w:szCs w:val="24"/>
            <w:lang w:val="en-US"/>
          </w:rPr>
          <w:t>https://www.nsi.bg/sites/default/files/files/pressreleases/Census2021_predvaritelna_ocenka.pdf</w:t>
        </w:r>
      </w:hyperlink>
      <w:r w:rsidR="00452555" w:rsidRPr="00410845">
        <w:rPr>
          <w:rFonts w:cs="Times New Roman"/>
          <w:szCs w:val="24"/>
        </w:rPr>
        <w:t xml:space="preserve"> </w:t>
      </w:r>
    </w:p>
    <w:p w:rsidR="00BB2AAD" w:rsidRPr="00410845" w:rsidRDefault="00BB2AAD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Все още е малък процентът на хората, които използват интернет за взаимодействие с органите на 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>държавната и местната власт (34</w:t>
      </w:r>
      <w:r w:rsidRPr="00410845">
        <w:rPr>
          <w:rFonts w:eastAsia="Times New Roman" w:cs="Times New Roman"/>
          <w:noProof/>
          <w:color w:val="1A1A1A"/>
          <w:szCs w:val="24"/>
          <w:lang w:eastAsia="bg-BG"/>
        </w:rPr>
        <w:t>%)</w:t>
      </w:r>
      <w:r w:rsidR="00300E91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при 65% за ЕС</w:t>
      </w:r>
      <w:r w:rsidR="00C8015C" w:rsidRPr="00410845">
        <w:rPr>
          <w:rFonts w:eastAsia="Times New Roman" w:cs="Times New Roman"/>
          <w:noProof/>
          <w:color w:val="1A1A1A"/>
          <w:szCs w:val="24"/>
          <w:lang w:eastAsia="bg-BG"/>
        </w:rPr>
        <w:t xml:space="preserve"> през </w:t>
      </w:r>
      <w:r w:rsidR="00C8015C" w:rsidRPr="00420B99">
        <w:rPr>
          <w:rFonts w:eastAsia="Times New Roman" w:cs="Times New Roman"/>
          <w:noProof/>
          <w:color w:val="1A1A1A"/>
          <w:szCs w:val="24"/>
          <w:lang w:eastAsia="bg-BG"/>
        </w:rPr>
        <w:t>2021</w:t>
      </w:r>
      <w:r w:rsidR="00926033" w:rsidRPr="00420B99">
        <w:rPr>
          <w:rFonts w:eastAsia="Times New Roman" w:cs="Times New Roman"/>
          <w:noProof/>
          <w:color w:val="1A1A1A"/>
          <w:szCs w:val="24"/>
          <w:lang w:eastAsia="bg-BG"/>
        </w:rPr>
        <w:t xml:space="preserve"> </w:t>
      </w:r>
      <w:r w:rsidR="00C8015C" w:rsidRPr="00420B99">
        <w:rPr>
          <w:rFonts w:eastAsia="Times New Roman" w:cs="Times New Roman"/>
          <w:noProof/>
          <w:color w:val="1A1A1A"/>
          <w:szCs w:val="24"/>
          <w:lang w:eastAsia="bg-BG"/>
        </w:rPr>
        <w:t>г.</w:t>
      </w:r>
    </w:p>
    <w:p w:rsidR="008F35D1" w:rsidRPr="00410845" w:rsidRDefault="008F35D1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cs="Times New Roman"/>
          <w:szCs w:val="24"/>
        </w:rPr>
        <w:t>Предприятията все още срещат трудности при намирането на квалифициран персонал, за  да осъществя</w:t>
      </w:r>
      <w:r w:rsidR="00E2250B" w:rsidRPr="00410845">
        <w:rPr>
          <w:rFonts w:cs="Times New Roman"/>
          <w:szCs w:val="24"/>
        </w:rPr>
        <w:t>ват иновации и да се разрастват</w:t>
      </w:r>
    </w:p>
    <w:p w:rsidR="00233F01" w:rsidRPr="00410845" w:rsidRDefault="00233F01" w:rsidP="0034202F">
      <w:pPr>
        <w:pStyle w:val="ListParagraph"/>
        <w:numPr>
          <w:ilvl w:val="0"/>
          <w:numId w:val="17"/>
        </w:numPr>
        <w:shd w:val="clear" w:color="auto" w:fill="FFFFFF"/>
        <w:spacing w:before="120" w:after="0" w:line="276" w:lineRule="auto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  <w:r w:rsidRPr="00410845">
        <w:rPr>
          <w:rFonts w:cs="Times New Roman"/>
          <w:szCs w:val="24"/>
        </w:rPr>
        <w:t xml:space="preserve">България достига </w:t>
      </w:r>
      <w:r w:rsidR="00300E91" w:rsidRPr="00410845">
        <w:rPr>
          <w:rFonts w:cs="Times New Roman"/>
          <w:szCs w:val="24"/>
        </w:rPr>
        <w:t xml:space="preserve"> 63</w:t>
      </w:r>
      <w:r w:rsidRPr="00410845">
        <w:rPr>
          <w:rFonts w:cs="Times New Roman"/>
          <w:szCs w:val="24"/>
        </w:rPr>
        <w:t xml:space="preserve"> % при цялостното разпространение на широколентовия достъп до интернет сред домакинствата с абон</w:t>
      </w:r>
      <w:r w:rsidR="00300E91" w:rsidRPr="00410845">
        <w:rPr>
          <w:rFonts w:cs="Times New Roman"/>
          <w:szCs w:val="24"/>
        </w:rPr>
        <w:t>амент (средна стойност за ЕС: 78</w:t>
      </w:r>
      <w:r w:rsidRPr="00410845">
        <w:rPr>
          <w:rFonts w:cs="Times New Roman"/>
          <w:szCs w:val="24"/>
        </w:rPr>
        <w:t xml:space="preserve"> %), като също така изостава при разпространението на фиксиран широколентов достъп до интернет със скорост поне 100 Mbp</w:t>
      </w:r>
      <w:r w:rsidR="00E2250B" w:rsidRPr="00410845">
        <w:rPr>
          <w:rFonts w:cs="Times New Roman"/>
          <w:szCs w:val="24"/>
        </w:rPr>
        <w:t xml:space="preserve">s </w:t>
      </w:r>
      <w:r w:rsidR="00300E91" w:rsidRPr="00410845">
        <w:rPr>
          <w:rFonts w:cs="Times New Roman"/>
          <w:szCs w:val="24"/>
        </w:rPr>
        <w:t xml:space="preserve">(22 %, при средно </w:t>
      </w:r>
      <w:r w:rsidR="00E2250B" w:rsidRPr="00410845">
        <w:rPr>
          <w:rFonts w:cs="Times New Roman"/>
          <w:szCs w:val="24"/>
        </w:rPr>
        <w:t>4</w:t>
      </w:r>
      <w:r w:rsidR="00300E91" w:rsidRPr="00410845">
        <w:rPr>
          <w:rFonts w:cs="Times New Roman"/>
          <w:szCs w:val="24"/>
        </w:rPr>
        <w:t>1</w:t>
      </w:r>
      <w:r w:rsidR="00E2250B" w:rsidRPr="00410845">
        <w:rPr>
          <w:rFonts w:cs="Times New Roman"/>
          <w:szCs w:val="24"/>
        </w:rPr>
        <w:t xml:space="preserve"> % за ЕС)</w:t>
      </w:r>
      <w:r w:rsidR="00C8015C" w:rsidRPr="00410845">
        <w:rPr>
          <w:rFonts w:cs="Times New Roman"/>
          <w:szCs w:val="24"/>
        </w:rPr>
        <w:t xml:space="preserve"> през 2021</w:t>
      </w:r>
      <w:r w:rsidR="00926033" w:rsidRPr="00410845">
        <w:rPr>
          <w:rFonts w:cs="Times New Roman"/>
          <w:szCs w:val="24"/>
        </w:rPr>
        <w:t xml:space="preserve"> </w:t>
      </w:r>
      <w:r w:rsidR="00C8015C" w:rsidRPr="00410845">
        <w:rPr>
          <w:rFonts w:cs="Times New Roman"/>
          <w:szCs w:val="24"/>
        </w:rPr>
        <w:t>г</w:t>
      </w:r>
      <w:r w:rsidR="00E43D0A" w:rsidRPr="00410845">
        <w:rPr>
          <w:rFonts w:cs="Times New Roman"/>
          <w:szCs w:val="24"/>
        </w:rPr>
        <w:t>.</w:t>
      </w:r>
    </w:p>
    <w:p w:rsidR="00CE432B" w:rsidRPr="00410845" w:rsidRDefault="00CE432B" w:rsidP="0034202F">
      <w:pPr>
        <w:pStyle w:val="ListParagraph"/>
        <w:numPr>
          <w:ilvl w:val="0"/>
          <w:numId w:val="17"/>
        </w:num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Увеличен е  делът – почти една трета (32%), от малките и средните предприятия, които продават онлайн не само в България, но и в други страни от Европейския съюз. Това показва значителна интернационализация на предприятията, които са онлайн и може да се счита за един от позитивните ефекти на пандемията. За сравнение по-малко от 5% от всички пр</w:t>
      </w:r>
      <w:r w:rsidR="00926033" w:rsidRPr="00410845">
        <w:rPr>
          <w:rFonts w:cs="Times New Roman"/>
          <w:noProof/>
          <w:szCs w:val="24"/>
        </w:rPr>
        <w:t>едприятия в икономиката изнасят (</w:t>
      </w:r>
      <w:r w:rsidR="00E11F8A" w:rsidRPr="00410845">
        <w:rPr>
          <w:rFonts w:cs="Times New Roman"/>
          <w:i/>
          <w:noProof/>
          <w:szCs w:val="24"/>
        </w:rPr>
        <w:t>Приложение 4</w:t>
      </w:r>
      <w:r w:rsidR="00E11F8A" w:rsidRPr="00410845">
        <w:rPr>
          <w:rFonts w:cs="Times New Roman"/>
          <w:noProof/>
          <w:szCs w:val="24"/>
        </w:rPr>
        <w:t>: Иновации в България 2022</w:t>
      </w:r>
      <w:r w:rsidR="00926033" w:rsidRPr="00410845">
        <w:rPr>
          <w:rFonts w:cs="Times New Roman"/>
          <w:noProof/>
          <w:szCs w:val="24"/>
        </w:rPr>
        <w:t>)</w:t>
      </w:r>
    </w:p>
    <w:p w:rsidR="00CE432B" w:rsidRPr="00410845" w:rsidRDefault="00CE432B" w:rsidP="0034202F">
      <w:pPr>
        <w:pStyle w:val="ListParagraph"/>
        <w:shd w:val="clear" w:color="auto" w:fill="FFFFFF"/>
        <w:spacing w:before="120" w:after="0" w:line="276" w:lineRule="auto"/>
        <w:ind w:left="360"/>
        <w:jc w:val="both"/>
        <w:rPr>
          <w:rFonts w:eastAsia="Times New Roman" w:cs="Times New Roman"/>
          <w:noProof/>
          <w:color w:val="1A1A1A"/>
          <w:szCs w:val="24"/>
          <w:lang w:eastAsia="bg-BG"/>
        </w:rPr>
      </w:pPr>
    </w:p>
    <w:bookmarkStart w:id="2" w:name="_Toc92275728"/>
    <w:bookmarkStart w:id="3" w:name="_Toc124780658"/>
    <w:p w:rsidR="00B211D5" w:rsidRPr="00410845" w:rsidRDefault="00C800AF" w:rsidP="0034202F">
      <w:pPr>
        <w:pStyle w:val="Heading1"/>
        <w:numPr>
          <w:ilvl w:val="0"/>
          <w:numId w:val="26"/>
        </w:numPr>
        <w:spacing w:before="12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noProof/>
          <w:szCs w:val="24"/>
          <w:lang w:bidi="bg-BG"/>
        </w:rPr>
        <w:fldChar w:fldCharType="begin"/>
      </w:r>
      <w:r w:rsidRPr="00410845">
        <w:rPr>
          <w:rFonts w:cs="Times New Roman"/>
          <w:noProof/>
          <w:szCs w:val="24"/>
          <w:lang w:bidi="bg-BG"/>
        </w:rPr>
        <w:instrText xml:space="preserve"> HYPERLINK "https://digital-strategy.ec.europa.eu/en/policies/desi" </w:instrText>
      </w:r>
      <w:r w:rsidRPr="00410845">
        <w:rPr>
          <w:rFonts w:cs="Times New Roman"/>
          <w:noProof/>
          <w:szCs w:val="24"/>
          <w:lang w:bidi="bg-BG"/>
        </w:rPr>
        <w:fldChar w:fldCharType="separate"/>
      </w:r>
      <w:r w:rsidR="00B211D5" w:rsidRPr="00410845">
        <w:rPr>
          <w:rStyle w:val="Hyperlink"/>
          <w:rFonts w:cs="Times New Roman"/>
          <w:noProof/>
          <w:szCs w:val="24"/>
          <w:lang w:bidi="bg-BG"/>
        </w:rPr>
        <w:t xml:space="preserve">Мониторинг </w:t>
      </w:r>
      <w:r w:rsidR="005F024F" w:rsidRPr="00410845">
        <w:rPr>
          <w:rStyle w:val="Hyperlink"/>
          <w:rFonts w:cs="Times New Roman"/>
          <w:noProof/>
          <w:szCs w:val="24"/>
          <w:lang w:bidi="bg-BG"/>
        </w:rPr>
        <w:t xml:space="preserve">- </w:t>
      </w:r>
      <w:r w:rsidR="00B211D5" w:rsidRPr="00410845">
        <w:rPr>
          <w:rStyle w:val="Hyperlink"/>
          <w:rFonts w:cs="Times New Roman"/>
          <w:szCs w:val="24"/>
        </w:rPr>
        <w:t>Индекс за навлизането на цифровите технологии в икономиката и обществото (DESI)</w:t>
      </w:r>
      <w:bookmarkEnd w:id="2"/>
      <w:bookmarkEnd w:id="3"/>
      <w:r w:rsidRPr="00410845">
        <w:rPr>
          <w:rFonts w:cs="Times New Roman"/>
          <w:noProof/>
          <w:szCs w:val="24"/>
          <w:lang w:bidi="bg-BG"/>
        </w:rPr>
        <w:fldChar w:fldCharType="end"/>
      </w:r>
    </w:p>
    <w:p w:rsidR="00DC688C" w:rsidRPr="00410845" w:rsidRDefault="00C800AF" w:rsidP="0034202F">
      <w:pPr>
        <w:spacing w:before="120" w:after="0" w:line="276" w:lineRule="auto"/>
        <w:rPr>
          <w:rFonts w:cs="Times New Roman"/>
          <w:szCs w:val="24"/>
        </w:rPr>
      </w:pPr>
      <w:r w:rsidRPr="00410845">
        <w:rPr>
          <w:rFonts w:cs="Times New Roman"/>
          <w:b/>
          <w:szCs w:val="24"/>
        </w:rPr>
        <w:t>Доклад за България 2022:</w:t>
      </w:r>
      <w:r w:rsidRPr="00410845">
        <w:rPr>
          <w:rFonts w:cs="Times New Roman"/>
          <w:szCs w:val="24"/>
        </w:rPr>
        <w:t xml:space="preserve"> </w:t>
      </w:r>
      <w:hyperlink r:id="rId10" w:history="1">
        <w:r w:rsidR="00DC688C" w:rsidRPr="00410845">
          <w:rPr>
            <w:rStyle w:val="Hyperlink"/>
            <w:rFonts w:cs="Times New Roman"/>
            <w:szCs w:val="24"/>
          </w:rPr>
          <w:t>https://digital-strategy.ec.europa.eu/en/policies/desi-bulgaria</w:t>
        </w:r>
      </w:hyperlink>
      <w:r w:rsidR="00DC688C" w:rsidRPr="00410845">
        <w:rPr>
          <w:rFonts w:cs="Times New Roman"/>
          <w:szCs w:val="24"/>
        </w:rPr>
        <w:t xml:space="preserve"> </w:t>
      </w:r>
    </w:p>
    <w:p w:rsidR="00DC688C" w:rsidRPr="00410845" w:rsidRDefault="00751ABA" w:rsidP="0034202F">
      <w:pPr>
        <w:tabs>
          <w:tab w:val="left" w:pos="6492"/>
        </w:tabs>
        <w:spacing w:before="120" w:after="0" w:line="276" w:lineRule="auto"/>
        <w:rPr>
          <w:rFonts w:cs="Times New Roman"/>
          <w:noProof/>
          <w:szCs w:val="24"/>
        </w:rPr>
      </w:pPr>
      <w:hyperlink r:id="rId11" w:anchor="chart={%22indicator-group%22:%22ebusiness%22,%22indicator%22:%22e_ai_tany%22,%22breakdown-group%22:%22total%22,%22unit-measure%22:%22pc_ent%22,%22time-period%22:%222021%22,%22ref-area%22:[%22BG%22,%22EU%22]}" w:history="1">
        <w:r w:rsidR="00DC688C" w:rsidRPr="00410845">
          <w:rPr>
            <w:rFonts w:cs="Times New Roman"/>
            <w:color w:val="0000FF"/>
            <w:szCs w:val="24"/>
            <w:u w:val="single"/>
          </w:rPr>
          <w:t>Analyse one indicator and compare breakdowns — Digital Scoreboard - Data &amp; Indicators (digital-agenda-data.eu)</w:t>
        </w:r>
      </w:hyperlink>
    </w:p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b/>
                <w:szCs w:val="24"/>
              </w:rPr>
            </w:pPr>
            <w:r w:rsidRPr="00410845">
              <w:rPr>
                <w:rFonts w:cs="Times New Roman"/>
                <w:szCs w:val="24"/>
              </w:rPr>
              <w:t xml:space="preserve">      </w:t>
            </w:r>
            <w:r w:rsidRPr="00410845">
              <w:rPr>
                <w:rFonts w:cs="Times New Roman"/>
                <w:b/>
                <w:szCs w:val="24"/>
              </w:rPr>
              <w:t xml:space="preserve">индекс                     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b/>
                <w:szCs w:val="24"/>
              </w:rPr>
            </w:pPr>
            <w:r w:rsidRPr="00410845">
              <w:rPr>
                <w:rFonts w:cs="Times New Roman"/>
                <w:b/>
                <w:szCs w:val="24"/>
              </w:rPr>
              <w:t xml:space="preserve">                          България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b/>
                <w:szCs w:val="24"/>
              </w:rPr>
            </w:pPr>
            <w:r w:rsidRPr="00410845">
              <w:rPr>
                <w:rFonts w:cs="Times New Roman"/>
                <w:b/>
                <w:szCs w:val="24"/>
              </w:rPr>
              <w:t>ЕС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 xml:space="preserve">                           DESI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място ЕС 27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резултат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резултат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DESI 2022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37,7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52,3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DESI 2021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26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36,8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50,7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DESI 2020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36,4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52,6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DESI 2019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28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33,8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49,4</w:t>
            </w:r>
          </w:p>
        </w:tc>
      </w:tr>
      <w:tr w:rsidR="00A33A45" w:rsidRPr="00410845" w:rsidTr="00336091"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DESI 2018</w:t>
            </w:r>
          </w:p>
        </w:tc>
        <w:tc>
          <w:tcPr>
            <w:tcW w:w="2265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27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33,5</w:t>
            </w:r>
          </w:p>
        </w:tc>
        <w:tc>
          <w:tcPr>
            <w:tcW w:w="2266" w:type="dxa"/>
            <w:shd w:val="clear" w:color="auto" w:fill="auto"/>
          </w:tcPr>
          <w:p w:rsidR="00A33A45" w:rsidRPr="00410845" w:rsidRDefault="00A33A45" w:rsidP="00336091">
            <w:pPr>
              <w:spacing w:before="120" w:line="276" w:lineRule="auto"/>
              <w:jc w:val="both"/>
              <w:rPr>
                <w:rFonts w:cs="Times New Roman"/>
                <w:szCs w:val="24"/>
              </w:rPr>
            </w:pPr>
            <w:r w:rsidRPr="00410845">
              <w:rPr>
                <w:rFonts w:cs="Times New Roman"/>
                <w:szCs w:val="24"/>
              </w:rPr>
              <w:t>46,5</w:t>
            </w:r>
          </w:p>
        </w:tc>
      </w:tr>
    </w:tbl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noProof/>
          <w:szCs w:val="24"/>
        </w:rPr>
      </w:pPr>
    </w:p>
    <w:p w:rsidR="00C800AF" w:rsidRPr="00410845" w:rsidRDefault="00C800AF" w:rsidP="00A33A45">
      <w:pPr>
        <w:numPr>
          <w:ilvl w:val="1"/>
          <w:numId w:val="0"/>
        </w:numPr>
        <w:tabs>
          <w:tab w:val="left" w:pos="2124"/>
        </w:tabs>
        <w:spacing w:before="120" w:after="0" w:line="276" w:lineRule="auto"/>
        <w:contextualSpacing/>
        <w:jc w:val="both"/>
        <w:rPr>
          <w:rFonts w:eastAsiaTheme="minorEastAsia" w:cs="Times New Roman"/>
          <w:b/>
          <w:noProof/>
          <w:spacing w:val="15"/>
          <w:szCs w:val="24"/>
        </w:rPr>
      </w:pPr>
    </w:p>
    <w:p w:rsidR="00A33A45" w:rsidRPr="00410845" w:rsidRDefault="00A33A45" w:rsidP="00A33A45">
      <w:pPr>
        <w:numPr>
          <w:ilvl w:val="1"/>
          <w:numId w:val="0"/>
        </w:numPr>
        <w:tabs>
          <w:tab w:val="left" w:pos="2124"/>
        </w:tabs>
        <w:spacing w:before="120" w:after="0" w:line="276" w:lineRule="auto"/>
        <w:contextualSpacing/>
        <w:jc w:val="both"/>
        <w:rPr>
          <w:rFonts w:eastAsiaTheme="minorEastAsia" w:cs="Times New Roman"/>
          <w:b/>
          <w:noProof/>
          <w:spacing w:val="15"/>
          <w:szCs w:val="24"/>
        </w:rPr>
      </w:pPr>
      <w:r w:rsidRPr="00410845">
        <w:rPr>
          <w:rFonts w:eastAsiaTheme="minorEastAsia" w:cs="Times New Roman"/>
          <w:b/>
          <w:noProof/>
          <w:spacing w:val="15"/>
          <w:szCs w:val="24"/>
        </w:rPr>
        <w:t xml:space="preserve">Структура на DESI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3235"/>
        <w:gridCol w:w="5428"/>
      </w:tblGrid>
      <w:tr w:rsidR="00A33A45" w:rsidRPr="00410845" w:rsidTr="00336091">
        <w:tc>
          <w:tcPr>
            <w:tcW w:w="9350" w:type="dxa"/>
            <w:gridSpan w:val="3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b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b/>
                <w:noProof/>
                <w:spacing w:val="15"/>
                <w:szCs w:val="24"/>
              </w:rPr>
              <w:t xml:space="preserve">                           </w:t>
            </w:r>
            <w:r w:rsidRPr="00410845">
              <w:rPr>
                <w:rFonts w:cs="Times New Roman"/>
                <w:b/>
                <w:noProof/>
                <w:szCs w:val="24"/>
              </w:rPr>
              <w:t>политически области и измерения /дименсии</w:t>
            </w:r>
          </w:p>
          <w:p w:rsidR="00A33A45" w:rsidRPr="00410845" w:rsidRDefault="00A33A45" w:rsidP="00336091">
            <w:pPr>
              <w:rPr>
                <w:rFonts w:eastAsiaTheme="minorEastAsia" w:cs="Times New Roman"/>
                <w:noProof/>
                <w:spacing w:val="15"/>
                <w:szCs w:val="24"/>
              </w:rPr>
            </w:pPr>
          </w:p>
        </w:tc>
      </w:tr>
      <w:tr w:rsidR="00A33A45" w:rsidRPr="00410845" w:rsidTr="00336091">
        <w:tc>
          <w:tcPr>
            <w:tcW w:w="62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lastRenderedPageBreak/>
              <w:t>1</w:t>
            </w:r>
          </w:p>
        </w:tc>
        <w:tc>
          <w:tcPr>
            <w:tcW w:w="3240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Човешки капитал</w:t>
            </w:r>
          </w:p>
        </w:tc>
        <w:tc>
          <w:tcPr>
            <w:tcW w:w="548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Умения на интернет ползвателите и напреднали цифрови умения</w:t>
            </w:r>
          </w:p>
        </w:tc>
      </w:tr>
      <w:tr w:rsidR="00A33A45" w:rsidRPr="00410845" w:rsidTr="00336091">
        <w:tc>
          <w:tcPr>
            <w:tcW w:w="62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2</w:t>
            </w:r>
          </w:p>
        </w:tc>
        <w:tc>
          <w:tcPr>
            <w:tcW w:w="3240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Свързаност</w:t>
            </w:r>
          </w:p>
        </w:tc>
        <w:tc>
          <w:tcPr>
            <w:tcW w:w="548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Разпространение и ползване на фиксиран широколентов интернет , покритие с фиксиран широколентов интернет, мобилен широколентов интернет и цени на широколентовия интернет</w:t>
            </w:r>
          </w:p>
        </w:tc>
      </w:tr>
      <w:tr w:rsidR="00A33A45" w:rsidRPr="00410845" w:rsidTr="00336091">
        <w:tc>
          <w:tcPr>
            <w:tcW w:w="62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3</w:t>
            </w:r>
          </w:p>
          <w:p w:rsidR="00A33A45" w:rsidRPr="00410845" w:rsidRDefault="00A33A45" w:rsidP="00336091">
            <w:pPr>
              <w:rPr>
                <w:rFonts w:cs="Times New Roman"/>
                <w:noProof/>
                <w:szCs w:val="24"/>
              </w:rPr>
            </w:pPr>
          </w:p>
        </w:tc>
        <w:tc>
          <w:tcPr>
            <w:tcW w:w="3240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Внедряване/интеграция на цифрови технологии</w:t>
            </w:r>
          </w:p>
        </w:tc>
        <w:tc>
          <w:tcPr>
            <w:tcW w:w="548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Цифровизация на бизнеса и е-търговиа</w:t>
            </w:r>
          </w:p>
        </w:tc>
      </w:tr>
      <w:tr w:rsidR="00A33A45" w:rsidRPr="00410845" w:rsidTr="00336091">
        <w:tc>
          <w:tcPr>
            <w:tcW w:w="62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4</w:t>
            </w:r>
          </w:p>
        </w:tc>
        <w:tc>
          <w:tcPr>
            <w:tcW w:w="3240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Цифрови обществени услуги</w:t>
            </w:r>
          </w:p>
        </w:tc>
        <w:tc>
          <w:tcPr>
            <w:tcW w:w="5485" w:type="dxa"/>
          </w:tcPr>
          <w:p w:rsidR="00A33A45" w:rsidRPr="00410845" w:rsidRDefault="00A33A45" w:rsidP="00336091">
            <w:pPr>
              <w:numPr>
                <w:ilvl w:val="1"/>
                <w:numId w:val="0"/>
              </w:numPr>
              <w:tabs>
                <w:tab w:val="left" w:pos="2124"/>
              </w:tabs>
              <w:spacing w:before="120" w:line="276" w:lineRule="auto"/>
              <w:contextualSpacing/>
              <w:jc w:val="both"/>
              <w:rPr>
                <w:rFonts w:eastAsiaTheme="minorEastAsia" w:cs="Times New Roman"/>
                <w:noProof/>
                <w:spacing w:val="15"/>
                <w:szCs w:val="24"/>
              </w:rPr>
            </w:pPr>
            <w:r w:rsidRPr="00410845">
              <w:rPr>
                <w:rFonts w:eastAsiaTheme="minorEastAsia" w:cs="Times New Roman"/>
                <w:noProof/>
                <w:spacing w:val="15"/>
                <w:szCs w:val="24"/>
              </w:rPr>
              <w:t>Е-управление</w:t>
            </w:r>
          </w:p>
        </w:tc>
      </w:tr>
    </w:tbl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  <w:u w:val="single"/>
        </w:rPr>
      </w:pP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Детайлизация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700"/>
        <w:gridCol w:w="4495"/>
      </w:tblGrid>
      <w:tr w:rsidR="00A33A45" w:rsidRPr="00410845" w:rsidTr="00336091">
        <w:tc>
          <w:tcPr>
            <w:tcW w:w="4855" w:type="dxa"/>
            <w:gridSpan w:val="2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политическа област и измерение/дименсия</w:t>
            </w: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center"/>
              <w:rPr>
                <w:rFonts w:cs="Times New Roman"/>
                <w:b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индикатор/показател</w:t>
            </w:r>
          </w:p>
        </w:tc>
      </w:tr>
      <w:tr w:rsidR="00A33A45" w:rsidRPr="00410845" w:rsidTr="00336091">
        <w:trPr>
          <w:trHeight w:val="144"/>
        </w:trPr>
        <w:tc>
          <w:tcPr>
            <w:tcW w:w="2155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410845">
            <w:pPr>
              <w:tabs>
                <w:tab w:val="left" w:pos="3312"/>
              </w:tabs>
              <w:spacing w:before="120" w:line="276" w:lineRule="auto"/>
              <w:contextualSpacing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Човешки капитал</w:t>
            </w: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умения на интернет ползвателите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поне базови цифрови умения</w:t>
            </w:r>
          </w:p>
        </w:tc>
      </w:tr>
      <w:tr w:rsidR="00A33A45" w:rsidRPr="00410845" w:rsidTr="00336091">
        <w:trPr>
          <w:trHeight w:val="44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над базови цифрови умения</w:t>
            </w:r>
          </w:p>
        </w:tc>
      </w:tr>
      <w:tr w:rsidR="00A33A45" w:rsidRPr="00410845" w:rsidTr="00336091">
        <w:trPr>
          <w:trHeight w:val="540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поне базови умения за създаване на цифрово съдържание</w:t>
            </w:r>
          </w:p>
        </w:tc>
      </w:tr>
      <w:tr w:rsidR="00A33A45" w:rsidRPr="00410845" w:rsidTr="00336091">
        <w:trPr>
          <w:trHeight w:val="372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напреднали умения и развитие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ИКТ специалисти</w:t>
            </w:r>
          </w:p>
        </w:tc>
      </w:tr>
      <w:tr w:rsidR="00A33A45" w:rsidRPr="00410845" w:rsidTr="00336091">
        <w:trPr>
          <w:trHeight w:val="360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ИКТ специалисти жени</w:t>
            </w:r>
          </w:p>
        </w:tc>
      </w:tr>
      <w:tr w:rsidR="00A33A45" w:rsidRPr="00410845" w:rsidTr="00336091">
        <w:trPr>
          <w:trHeight w:val="288"/>
        </w:trPr>
        <w:tc>
          <w:tcPr>
            <w:tcW w:w="2155" w:type="dxa"/>
            <w:vMerge/>
            <w:shd w:val="clear" w:color="auto" w:fill="FBE4D5" w:themeFill="accent2" w:themeFillTint="33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FBE4D5" w:themeFill="accent2" w:themeFillTint="33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предприятия предоставящи ИКТ обучение</w:t>
            </w:r>
          </w:p>
        </w:tc>
      </w:tr>
      <w:tr w:rsidR="00A33A45" w:rsidRPr="00410845" w:rsidTr="00336091">
        <w:trPr>
          <w:trHeight w:val="408"/>
        </w:trPr>
        <w:tc>
          <w:tcPr>
            <w:tcW w:w="2155" w:type="dxa"/>
            <w:vMerge/>
            <w:shd w:val="clear" w:color="auto" w:fill="FBE4D5" w:themeFill="accent2" w:themeFillTint="33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FBE4D5" w:themeFill="accent2" w:themeFillTint="33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завършили ИКТ образование</w:t>
            </w:r>
          </w:p>
        </w:tc>
      </w:tr>
      <w:tr w:rsidR="00A33A45" w:rsidRPr="00410845" w:rsidTr="00336091">
        <w:trPr>
          <w:trHeight w:val="372"/>
        </w:trPr>
        <w:tc>
          <w:tcPr>
            <w:tcW w:w="2155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410845">
            <w:pPr>
              <w:tabs>
                <w:tab w:val="left" w:pos="3312"/>
              </w:tabs>
              <w:spacing w:before="120" w:line="276" w:lineRule="auto"/>
              <w:contextualSpacing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Свързаност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Разпространение и ползване на фиксиран широколентов интернет 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общо разпространение и ползване на фиксиран широколентов интернет</w:t>
            </w:r>
          </w:p>
        </w:tc>
      </w:tr>
      <w:tr w:rsidR="00A33A45" w:rsidRPr="00410845" w:rsidTr="00336091">
        <w:trPr>
          <w:trHeight w:val="468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 разпространение и ползване на фиксиран широколентов интернет поне със 100 Mbps</w:t>
            </w:r>
          </w:p>
        </w:tc>
      </w:tr>
      <w:tr w:rsidR="00A33A45" w:rsidRPr="00410845" w:rsidTr="00336091">
        <w:trPr>
          <w:trHeight w:val="611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разпространение и ползване на интернет поне с 1 Gbps</w:t>
            </w:r>
          </w:p>
        </w:tc>
      </w:tr>
      <w:tr w:rsidR="00A33A45" w:rsidRPr="00410845" w:rsidTr="00336091">
        <w:trPr>
          <w:trHeight w:val="300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покритие с фиксиран широколентов интернет,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широколентово покритие с бърз/NGA интернет</w:t>
            </w:r>
          </w:p>
        </w:tc>
      </w:tr>
      <w:tr w:rsidR="00A33A45" w:rsidRPr="00410845" w:rsidTr="00336091">
        <w:trPr>
          <w:trHeight w:val="437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покритие с фиксирани мрежи с много голям капацитет/VHCN</w:t>
            </w:r>
          </w:p>
        </w:tc>
      </w:tr>
      <w:tr w:rsidR="00A33A45" w:rsidRPr="00410845" w:rsidTr="00336091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мобилен широколентов интернет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5G честотен спектър</w:t>
            </w:r>
          </w:p>
        </w:tc>
      </w:tr>
      <w:tr w:rsidR="00A33A45" w:rsidRPr="00410845" w:rsidTr="00336091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5G покритие</w:t>
            </w:r>
          </w:p>
        </w:tc>
      </w:tr>
      <w:tr w:rsidR="00A33A45" w:rsidRPr="00410845" w:rsidTr="00336091">
        <w:trPr>
          <w:trHeight w:val="437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разпространение и ползване на мобилен широколентов интернет</w:t>
            </w:r>
          </w:p>
        </w:tc>
      </w:tr>
      <w:tr w:rsidR="00A33A45" w:rsidRPr="00410845" w:rsidTr="00336091">
        <w:trPr>
          <w:trHeight w:val="935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цени на широколентовия интернет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2d1индекс на цените на широколентовия интернет</w:t>
            </w:r>
          </w:p>
        </w:tc>
      </w:tr>
      <w:tr w:rsidR="00A33A45" w:rsidRPr="00410845" w:rsidTr="00336091">
        <w:trPr>
          <w:trHeight w:val="420"/>
        </w:trPr>
        <w:tc>
          <w:tcPr>
            <w:tcW w:w="2155" w:type="dxa"/>
            <w:vMerge w:val="restart"/>
            <w:shd w:val="clear" w:color="auto" w:fill="auto"/>
          </w:tcPr>
          <w:p w:rsidR="00A33A45" w:rsidRPr="00410845" w:rsidRDefault="00A33A45" w:rsidP="00410845">
            <w:pPr>
              <w:tabs>
                <w:tab w:val="left" w:pos="3312"/>
              </w:tabs>
              <w:spacing w:before="120" w:line="276" w:lineRule="auto"/>
              <w:contextualSpacing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Внедряване/</w:t>
            </w:r>
            <w:r w:rsidR="00410845">
              <w:rPr>
                <w:rFonts w:cs="Times New Roman"/>
                <w:noProof/>
                <w:szCs w:val="24"/>
              </w:rPr>
              <w:br/>
            </w:r>
            <w:r w:rsidRPr="00410845">
              <w:rPr>
                <w:rFonts w:cs="Times New Roman"/>
                <w:noProof/>
                <w:szCs w:val="24"/>
              </w:rPr>
              <w:t>интеграция на цифровите технологии</w:t>
            </w:r>
          </w:p>
        </w:tc>
        <w:tc>
          <w:tcPr>
            <w:tcW w:w="2700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цифров интензитет </w:t>
            </w:r>
          </w:p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МСП с поне базово ниво на цифров интензитет</w:t>
            </w: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</w:tr>
      <w:tr w:rsidR="00A33A45" w:rsidRPr="00410845" w:rsidTr="00336091">
        <w:trPr>
          <w:trHeight w:val="276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технологии за бизнеса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Електронно споделяне на информациь</w:t>
            </w:r>
          </w:p>
        </w:tc>
      </w:tr>
      <w:tr w:rsidR="00A33A45" w:rsidRPr="00410845" w:rsidTr="00336091">
        <w:trPr>
          <w:trHeight w:val="276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Социални медии</w:t>
            </w:r>
          </w:p>
        </w:tc>
      </w:tr>
      <w:tr w:rsidR="00A33A45" w:rsidRPr="00410845" w:rsidTr="00336091">
        <w:trPr>
          <w:trHeight w:val="252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Големи данни</w:t>
            </w:r>
          </w:p>
        </w:tc>
      </w:tr>
      <w:tr w:rsidR="00A33A45" w:rsidRPr="00410845" w:rsidTr="00336091">
        <w:trPr>
          <w:trHeight w:val="240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облак</w:t>
            </w:r>
          </w:p>
        </w:tc>
      </w:tr>
      <w:tr w:rsidR="00A33A45" w:rsidRPr="00410845" w:rsidTr="00336091">
        <w:trPr>
          <w:trHeight w:val="26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ИИ</w:t>
            </w:r>
          </w:p>
        </w:tc>
      </w:tr>
      <w:tr w:rsidR="00A33A45" w:rsidRPr="00410845" w:rsidTr="00336091">
        <w:trPr>
          <w:trHeight w:val="288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ИКТ за устойчива околна среда</w:t>
            </w:r>
          </w:p>
        </w:tc>
      </w:tr>
      <w:tr w:rsidR="00A33A45" w:rsidRPr="00410845" w:rsidTr="00336091">
        <w:trPr>
          <w:trHeight w:val="14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Е-фактури</w:t>
            </w:r>
          </w:p>
        </w:tc>
      </w:tr>
      <w:tr w:rsidR="00A33A45" w:rsidRPr="00410845" w:rsidTr="00336091">
        <w:trPr>
          <w:trHeight w:val="20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е-търговия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МСП които продават онлайн</w:t>
            </w:r>
          </w:p>
        </w:tc>
      </w:tr>
      <w:tr w:rsidR="00A33A45" w:rsidRPr="00410845" w:rsidTr="00336091">
        <w:trPr>
          <w:trHeight w:val="216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Оборот на е-търговия</w:t>
            </w:r>
          </w:p>
        </w:tc>
      </w:tr>
      <w:tr w:rsidR="00A33A45" w:rsidRPr="00410845" w:rsidTr="00336091">
        <w:trPr>
          <w:trHeight w:val="26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Трансгранични онлайн продажби</w:t>
            </w:r>
          </w:p>
        </w:tc>
      </w:tr>
      <w:tr w:rsidR="00A33A45" w:rsidRPr="00410845" w:rsidTr="00336091">
        <w:trPr>
          <w:trHeight w:val="316"/>
        </w:trPr>
        <w:tc>
          <w:tcPr>
            <w:tcW w:w="2155" w:type="dxa"/>
            <w:vMerge w:val="restart"/>
            <w:shd w:val="clear" w:color="auto" w:fill="auto"/>
          </w:tcPr>
          <w:p w:rsidR="00A33A45" w:rsidRPr="00410845" w:rsidRDefault="00A33A45" w:rsidP="00410845">
            <w:p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обществени/</w:t>
            </w:r>
            <w:r w:rsidR="00410845">
              <w:rPr>
                <w:rFonts w:cs="Times New Roman"/>
                <w:noProof/>
                <w:szCs w:val="24"/>
              </w:rPr>
              <w:br/>
            </w:r>
            <w:r w:rsidRPr="00410845">
              <w:rPr>
                <w:rFonts w:cs="Times New Roman"/>
                <w:noProof/>
                <w:szCs w:val="24"/>
              </w:rPr>
              <w:t>публични услуги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е-управление </w:t>
            </w: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Ползватели на е- управление</w:t>
            </w:r>
          </w:p>
        </w:tc>
      </w:tr>
      <w:tr w:rsidR="00A33A45" w:rsidRPr="00410845" w:rsidTr="00336091">
        <w:trPr>
          <w:trHeight w:val="276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Предварително попълнени формуляри</w:t>
            </w:r>
          </w:p>
        </w:tc>
      </w:tr>
      <w:tr w:rsidR="00A33A45" w:rsidRPr="00410845" w:rsidTr="00336091">
        <w:trPr>
          <w:trHeight w:val="20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обществени услуги за граждани</w:t>
            </w:r>
          </w:p>
        </w:tc>
      </w:tr>
      <w:tr w:rsidR="00A33A45" w:rsidRPr="00410845" w:rsidTr="00336091">
        <w:trPr>
          <w:trHeight w:val="264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1020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обществени услуги за бизнес</w:t>
            </w:r>
          </w:p>
        </w:tc>
      </w:tr>
      <w:tr w:rsidR="00A33A45" w:rsidRPr="00410845" w:rsidTr="00336091">
        <w:trPr>
          <w:trHeight w:val="161"/>
        </w:trPr>
        <w:tc>
          <w:tcPr>
            <w:tcW w:w="2155" w:type="dxa"/>
            <w:vMerge/>
            <w:shd w:val="clear" w:color="auto" w:fill="auto"/>
          </w:tcPr>
          <w:p w:rsidR="00A33A45" w:rsidRPr="00410845" w:rsidRDefault="00A33A45" w:rsidP="00A33A45">
            <w:pPr>
              <w:numPr>
                <w:ilvl w:val="0"/>
                <w:numId w:val="24"/>
              </w:numPr>
              <w:tabs>
                <w:tab w:val="left" w:pos="3312"/>
              </w:tabs>
              <w:spacing w:before="120" w:line="276" w:lineRule="auto"/>
              <w:contextualSpacing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A33A45" w:rsidRPr="00410845" w:rsidRDefault="00A33A45" w:rsidP="00336091">
            <w:pPr>
              <w:ind w:firstLine="720"/>
              <w:rPr>
                <w:rFonts w:cs="Times New Roman"/>
                <w:noProof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Отворени данни</w:t>
            </w:r>
          </w:p>
        </w:tc>
      </w:tr>
    </w:tbl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</w:p>
    <w:p w:rsidR="00A33A45" w:rsidRPr="00410845" w:rsidRDefault="00A33A45" w:rsidP="00A33A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cs="Times New Roman"/>
          <w:b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Важно! Индексът се преизчислява за всички ДЧ за предишни години, за да отрази промените в избора на индикатори и корекциите, направени в основните данни. Поради това резултатите и класирането на държавите може да се променя в сравнение с предишни публикации.</w:t>
      </w:r>
    </w:p>
    <w:p w:rsidR="00A33A45" w:rsidRPr="00410845" w:rsidRDefault="00A33A45" w:rsidP="00A33A45">
      <w:pPr>
        <w:numPr>
          <w:ilvl w:val="1"/>
          <w:numId w:val="0"/>
        </w:numPr>
        <w:tabs>
          <w:tab w:val="left" w:pos="6420"/>
        </w:tabs>
        <w:spacing w:before="120" w:after="0" w:line="276" w:lineRule="auto"/>
        <w:jc w:val="both"/>
        <w:rPr>
          <w:rFonts w:eastAsiaTheme="minorEastAsia" w:cs="Times New Roman"/>
          <w:noProof/>
          <w:color w:val="5A5A5A" w:themeColor="text1" w:themeTint="A5"/>
          <w:spacing w:val="15"/>
          <w:szCs w:val="24"/>
        </w:rPr>
      </w:pPr>
      <w:r w:rsidRPr="00410845">
        <w:rPr>
          <w:rFonts w:eastAsiaTheme="minorEastAsia" w:cs="Times New Roman"/>
          <w:noProof/>
          <w:color w:val="5A5A5A" w:themeColor="text1" w:themeTint="A5"/>
          <w:spacing w:val="15"/>
          <w:szCs w:val="24"/>
        </w:rPr>
        <w:tab/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С DESI са възможни четири основни вида анализ:</w:t>
      </w:r>
    </w:p>
    <w:p w:rsidR="00A33A45" w:rsidRPr="00410845" w:rsidRDefault="00A33A45" w:rsidP="00A33A45">
      <w:pPr>
        <w:pStyle w:val="ListParagraph"/>
        <w:numPr>
          <w:ilvl w:val="0"/>
          <w:numId w:val="23"/>
        </w:numP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Обща оценка на изпълнението</w:t>
      </w:r>
      <w:r w:rsidRPr="00410845">
        <w:rPr>
          <w:rFonts w:cs="Times New Roman"/>
          <w:noProof/>
          <w:szCs w:val="24"/>
        </w:rPr>
        <w:t>: за получаване на обща характеристика на представянето на отделните държави-членки чрез наблюдение на техния общ индексен резултат и резултатите на основните измерения на индекса</w:t>
      </w:r>
    </w:p>
    <w:p w:rsidR="00A33A45" w:rsidRPr="00410845" w:rsidRDefault="00A33A45" w:rsidP="00A33A45">
      <w:pPr>
        <w:numPr>
          <w:ilvl w:val="0"/>
          <w:numId w:val="23"/>
        </w:numPr>
        <w:tabs>
          <w:tab w:val="left" w:pos="3312"/>
        </w:tabs>
        <w:spacing w:before="120" w:after="0" w:line="276" w:lineRule="auto"/>
        <w:contextualSpacing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lastRenderedPageBreak/>
        <w:t>Фокусиране върху детайлите/Zooming-in</w:t>
      </w:r>
      <w:r w:rsidRPr="00410845">
        <w:rPr>
          <w:rFonts w:cs="Times New Roman"/>
          <w:noProof/>
          <w:szCs w:val="24"/>
        </w:rPr>
        <w:t xml:space="preserve"> за определяне на областите, в които представянето на държавите членки може да бъде подобрено чрез анализиране на оценките на подизмеренията на индекса и отделните показатели. </w:t>
      </w:r>
    </w:p>
    <w:p w:rsidR="00A33A45" w:rsidRPr="00410845" w:rsidRDefault="00A33A45" w:rsidP="00A33A45">
      <w:pPr>
        <w:numPr>
          <w:ilvl w:val="0"/>
          <w:numId w:val="23"/>
        </w:numPr>
        <w:tabs>
          <w:tab w:val="left" w:pos="3312"/>
        </w:tabs>
        <w:spacing w:before="120" w:after="0" w:line="276" w:lineRule="auto"/>
        <w:contextualSpacing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Проследяване</w:t>
      </w:r>
      <w:r w:rsidRPr="00410845">
        <w:rPr>
          <w:rFonts w:cs="Times New Roman"/>
          <w:noProof/>
          <w:szCs w:val="24"/>
        </w:rPr>
        <w:t>: за оценка дали има напредък във времето</w:t>
      </w:r>
    </w:p>
    <w:p w:rsidR="00A33A45" w:rsidRPr="00410845" w:rsidRDefault="00A33A45" w:rsidP="00A33A45">
      <w:pPr>
        <w:numPr>
          <w:ilvl w:val="0"/>
          <w:numId w:val="23"/>
        </w:numPr>
        <w:tabs>
          <w:tab w:val="left" w:pos="3312"/>
        </w:tabs>
        <w:spacing w:before="120" w:after="0" w:line="276" w:lineRule="auto"/>
        <w:contextualSpacing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Сравнителен анализ</w:t>
      </w:r>
      <w:r w:rsidRPr="00410845">
        <w:rPr>
          <w:rFonts w:cs="Times New Roman"/>
          <w:noProof/>
          <w:szCs w:val="24"/>
        </w:rPr>
        <w:t>: групиране на държавите-членки според техните индексни резултати, сравняване на държави в сходни етапи на цифрово развитие, за да се подчертае необходимостта от подобрение в съответните области на политиката. DESI е разработен в съответствие с насоките и препоръките в „Наръчник за конструиране на съставни индикатори: методология и ръководство за потребителя“ на OECD/JRC . Данните, включени в индекса, са събрани предимно от съответните органи на държавите-членки от Европейската комисия (Генерална дирекция за комуникационни мрежи, съдържание и технологии, както и Евростат) и от ad hoc проучвания, стартирани от Комисията.</w:t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ind w:left="420"/>
        <w:contextualSpacing/>
        <w:jc w:val="both"/>
        <w:rPr>
          <w:rFonts w:cs="Times New Roman"/>
          <w:noProof/>
          <w:szCs w:val="24"/>
        </w:rPr>
      </w:pP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contextualSpacing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 xml:space="preserve">DESI </w:t>
      </w:r>
      <w:r w:rsidR="000F0E7F">
        <w:rPr>
          <w:rFonts w:cs="Times New Roman"/>
          <w:noProof/>
          <w:szCs w:val="24"/>
        </w:rPr>
        <w:t>следи</w:t>
      </w:r>
      <w:r w:rsidRPr="00410845">
        <w:rPr>
          <w:rFonts w:cs="Times New Roman"/>
          <w:noProof/>
          <w:szCs w:val="24"/>
        </w:rPr>
        <w:t xml:space="preserve"> четирите основни области на Политическа програма Цифрово десетилетие 2030. Това не са изолирани области, които допринасят отделно за цифровото развитие, а </w:t>
      </w:r>
      <w:r w:rsidR="000F0E7F">
        <w:rPr>
          <w:rFonts w:cs="Times New Roman"/>
          <w:noProof/>
          <w:szCs w:val="24"/>
        </w:rPr>
        <w:t xml:space="preserve">са </w:t>
      </w:r>
      <w:r w:rsidRPr="00410845">
        <w:rPr>
          <w:rFonts w:cs="Times New Roman"/>
          <w:noProof/>
          <w:szCs w:val="24"/>
        </w:rPr>
        <w:t xml:space="preserve">взаимосвързани. </w:t>
      </w:r>
    </w:p>
    <w:p w:rsidR="007160AD" w:rsidRPr="00410845" w:rsidRDefault="007160AD" w:rsidP="00A33A45">
      <w:pPr>
        <w:tabs>
          <w:tab w:val="left" w:pos="3312"/>
        </w:tabs>
        <w:spacing w:before="120" w:after="0" w:line="276" w:lineRule="auto"/>
        <w:contextualSpacing/>
        <w:jc w:val="both"/>
        <w:rPr>
          <w:rFonts w:cs="Times New Roman"/>
          <w:noProof/>
          <w:szCs w:val="24"/>
        </w:rPr>
      </w:pPr>
    </w:p>
    <w:p w:rsidR="00A33A45" w:rsidRPr="00410845" w:rsidRDefault="00A33A45" w:rsidP="000F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cs="Times New Roman"/>
          <w:b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Повечето данни в DESI са събрани директно от националните статистически офиси и Евростат.</w:t>
      </w:r>
      <w:r w:rsidR="000F0E7F" w:rsidRPr="000F0E7F">
        <w:rPr>
          <w:rFonts w:cs="Times New Roman"/>
          <w:b/>
          <w:i/>
          <w:noProof/>
          <w:szCs w:val="24"/>
        </w:rPr>
        <w:t xml:space="preserve"> </w:t>
      </w:r>
      <w:r w:rsidR="000F0E7F" w:rsidRPr="000F0E7F">
        <w:rPr>
          <w:rFonts w:cs="Times New Roman"/>
          <w:b/>
          <w:noProof/>
          <w:szCs w:val="24"/>
        </w:rPr>
        <w:t>Националният статистически институт в България е член на РГ в Евростат и събира аналогични на Евростат данни. НСИ н</w:t>
      </w:r>
      <w:r w:rsidR="000F0E7F">
        <w:rPr>
          <w:rFonts w:cs="Times New Roman"/>
          <w:b/>
          <w:noProof/>
          <w:szCs w:val="24"/>
        </w:rPr>
        <w:t>е събира данни за ИКТ сектор!</w:t>
      </w:r>
      <w:r w:rsidR="000F0E7F" w:rsidRPr="000F0E7F">
        <w:rPr>
          <w:rFonts w:cs="Times New Roman"/>
          <w:b/>
          <w:noProof/>
          <w:szCs w:val="24"/>
        </w:rPr>
        <w:t xml:space="preserve"> Такива данни за България дава ЕК/JRC</w:t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  <w:u w:val="single"/>
        </w:rPr>
      </w:pPr>
      <w:r w:rsidRPr="00410845">
        <w:rPr>
          <w:rFonts w:cs="Times New Roman"/>
          <w:noProof/>
          <w:szCs w:val="24"/>
        </w:rPr>
        <w:br w:type="textWrapping" w:clear="all"/>
      </w:r>
      <w:r w:rsidRPr="00410845">
        <w:rPr>
          <w:rFonts w:cs="Times New Roman"/>
          <w:b/>
          <w:noProof/>
          <w:szCs w:val="24"/>
          <w:u w:val="single"/>
        </w:rPr>
        <w:t>Източници на данните</w:t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2"/>
        <w:gridCol w:w="4641"/>
      </w:tblGrid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Източник на данните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Процес на събиране на данните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Евростат/Естат 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Данни събирани и валидирани от националните статистически служби или от Евростат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1236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Комитет по съобщенията/ СОСОМ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Данни събирани и валидирани от националните регулаторни органи/от експерти по данни определени от членовете на СОСОМ във всяка ДЧ 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Проучвания на широколентовото покритие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Данни събирани от IНS Markit, Omdia и Point Topic и валидирани от националните регулаторни органи/от експерти по данни определени от членовете на СОСОМ във всяка ДЧ 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Проучвания на цени на дребно за широколентов интернет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Данни събирани от Empirica и валидирани от националните регулаторни органи/от </w:t>
            </w:r>
            <w:r w:rsidRPr="00410845">
              <w:rPr>
                <w:rFonts w:cs="Times New Roman"/>
                <w:noProof/>
                <w:szCs w:val="24"/>
              </w:rPr>
              <w:lastRenderedPageBreak/>
              <w:t>експерти по данни определени от членовете на СОСОМ във всяка ДЧ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lastRenderedPageBreak/>
              <w:t>Сравнителен анализ на електронното управление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Данни събирани и валидирани от съответните  министерства във всяка  ДЧ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1524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Проучване на бизнеси за използване на цифрови технологии</w:t>
            </w:r>
          </w:p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Данни събирани от Ipsos и iCite ; резултатите от проучванията се преглеждат от Стратегическата група по цифров единен пазар</w:t>
            </w:r>
          </w:p>
        </w:tc>
      </w:tr>
      <w:tr w:rsidR="00A33A45" w:rsidRPr="00410845" w:rsidTr="00336091"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Европейски портал за данни </w:t>
            </w:r>
          </w:p>
        </w:tc>
        <w:tc>
          <w:tcPr>
            <w:tcW w:w="4675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Данни събирани от Capgemini от съответните  министерства във всяка  ДЧ </w:t>
            </w:r>
          </w:p>
        </w:tc>
      </w:tr>
    </w:tbl>
    <w:p w:rsidR="00A33A45" w:rsidRPr="00410845" w:rsidRDefault="00A33A45" w:rsidP="00A33A45">
      <w:pPr>
        <w:tabs>
          <w:tab w:val="left" w:pos="1980"/>
        </w:tabs>
        <w:spacing w:before="120" w:after="0" w:line="276" w:lineRule="auto"/>
        <w:jc w:val="both"/>
        <w:rPr>
          <w:rFonts w:cs="Times New Roman"/>
          <w:b/>
          <w:noProof/>
          <w:szCs w:val="24"/>
          <w:u w:val="single"/>
        </w:rPr>
      </w:pPr>
      <w:r w:rsidRPr="00410845">
        <w:rPr>
          <w:rFonts w:cs="Times New Roman"/>
          <w:b/>
          <w:noProof/>
          <w:szCs w:val="24"/>
          <w:u w:val="single"/>
        </w:rPr>
        <w:t>Тегловни части</w:t>
      </w:r>
      <w:r w:rsidRPr="00410845">
        <w:rPr>
          <w:rFonts w:cs="Times New Roman"/>
          <w:b/>
          <w:noProof/>
          <w:szCs w:val="24"/>
          <w:u w:val="single"/>
        </w:rPr>
        <w:tab/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Четирите политически области  са от еднаква важност, което рефлектира в еднакви тегловни части</w:t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637"/>
      </w:tblGrid>
      <w:tr w:rsidR="00A33A45" w:rsidRPr="00410845" w:rsidTr="00336091"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Политически области</w:t>
            </w:r>
          </w:p>
        </w:tc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ind w:firstLine="720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Тегловни части</w:t>
            </w:r>
          </w:p>
        </w:tc>
      </w:tr>
      <w:tr w:rsidR="00A33A45" w:rsidRPr="00410845" w:rsidTr="00336091"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Човешки капитал</w:t>
            </w:r>
          </w:p>
        </w:tc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  <w:tr w:rsidR="00A33A45" w:rsidRPr="00410845" w:rsidTr="00336091"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1428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Свързаност</w:t>
            </w:r>
          </w:p>
        </w:tc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  <w:tr w:rsidR="00A33A45" w:rsidRPr="00410845" w:rsidTr="00336091"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Интеграция/внедряване на цифровите технологии</w:t>
            </w:r>
          </w:p>
        </w:tc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  <w:tr w:rsidR="00A33A45" w:rsidRPr="00410845" w:rsidTr="00336091"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обществени/публични услуги</w:t>
            </w:r>
          </w:p>
        </w:tc>
        <w:tc>
          <w:tcPr>
            <w:tcW w:w="4675" w:type="dxa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</w:tbl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  <w:u w:val="single"/>
        </w:rPr>
      </w:pPr>
      <w:r w:rsidRPr="00410845">
        <w:rPr>
          <w:rFonts w:cs="Times New Roman"/>
          <w:b/>
          <w:noProof/>
          <w:szCs w:val="24"/>
          <w:u w:val="single"/>
        </w:rPr>
        <w:t>Тегловни части на подизмеренията</w:t>
      </w:r>
    </w:p>
    <w:p w:rsidR="00A33A45" w:rsidRPr="00410845" w:rsidRDefault="00A33A45" w:rsidP="00A33A45">
      <w:pPr>
        <w:tabs>
          <w:tab w:val="left" w:pos="3312"/>
        </w:tabs>
        <w:spacing w:before="120" w:after="0" w:line="276" w:lineRule="auto"/>
        <w:jc w:val="both"/>
        <w:rPr>
          <w:rFonts w:cs="Times New Roman"/>
          <w:b/>
          <w:noProof/>
          <w:szCs w:val="24"/>
        </w:rPr>
      </w:pPr>
      <w:r w:rsidRPr="00410845">
        <w:rPr>
          <w:rFonts w:cs="Times New Roman"/>
          <w:noProof/>
          <w:szCs w:val="24"/>
        </w:rPr>
        <w:t>По-голямата част от отделните индикатори в рамките на всяко подизмерение се считат за еднакво важни и следователно се претеглят еднакво в рамките на съответното подизмерение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104"/>
        <w:gridCol w:w="3096"/>
      </w:tblGrid>
      <w:tr w:rsidR="00A33A45" w:rsidRPr="00410845" w:rsidTr="00336091">
        <w:tc>
          <w:tcPr>
            <w:tcW w:w="6233" w:type="dxa"/>
            <w:gridSpan w:val="2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 xml:space="preserve">                    Политически области и индикатори                               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тегловни части</w:t>
            </w:r>
          </w:p>
        </w:tc>
      </w:tr>
      <w:tr w:rsidR="00A33A45" w:rsidRPr="00410845" w:rsidTr="00336091">
        <w:tc>
          <w:tcPr>
            <w:tcW w:w="9350" w:type="dxa"/>
            <w:gridSpan w:val="3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Човешки капитал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Умения на интернет ползвателите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50%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Напреднали умения и развитие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50%</w:t>
            </w:r>
          </w:p>
        </w:tc>
      </w:tr>
      <w:tr w:rsidR="00A33A45" w:rsidRPr="00410845" w:rsidTr="00336091">
        <w:tc>
          <w:tcPr>
            <w:tcW w:w="9350" w:type="dxa"/>
            <w:gridSpan w:val="3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 xml:space="preserve">Свързаност 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Разпространение и ползване на фиксиран широколентов интернет 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  <w:p w:rsidR="00A33A45" w:rsidRPr="00410845" w:rsidRDefault="00A33A45" w:rsidP="00336091">
            <w:pPr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Покритие с фиксиран широколентов интернет,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25%</w:t>
            </w:r>
          </w:p>
        </w:tc>
      </w:tr>
      <w:tr w:rsidR="00A33A45" w:rsidRPr="00410845" w:rsidTr="00336091">
        <w:trPr>
          <w:trHeight w:val="836"/>
        </w:trPr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 xml:space="preserve"> Мобилен широколентов интернет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40%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Цени на широколентовия интернет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10%</w:t>
            </w:r>
          </w:p>
        </w:tc>
      </w:tr>
      <w:tr w:rsidR="00A33A45" w:rsidRPr="00410845" w:rsidTr="00336091">
        <w:tc>
          <w:tcPr>
            <w:tcW w:w="9350" w:type="dxa"/>
            <w:gridSpan w:val="3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Интеграция на цифровите технологии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 интензитет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15%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Цифрови технологии за бизнеса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70%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Е-търговия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936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15%</w:t>
            </w:r>
          </w:p>
        </w:tc>
      </w:tr>
      <w:tr w:rsidR="00A33A45" w:rsidRPr="00410845" w:rsidTr="00336091">
        <w:trPr>
          <w:trHeight w:val="548"/>
        </w:trPr>
        <w:tc>
          <w:tcPr>
            <w:tcW w:w="9350" w:type="dxa"/>
            <w:gridSpan w:val="3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b/>
                <w:noProof/>
                <w:szCs w:val="24"/>
              </w:rPr>
            </w:pPr>
            <w:r w:rsidRPr="00410845">
              <w:rPr>
                <w:rFonts w:cs="Times New Roman"/>
                <w:b/>
                <w:noProof/>
                <w:szCs w:val="24"/>
              </w:rPr>
              <w:t>Цифрови обществени услуги</w:t>
            </w:r>
          </w:p>
        </w:tc>
      </w:tr>
      <w:tr w:rsidR="00A33A45" w:rsidRPr="00410845" w:rsidTr="00336091">
        <w:tc>
          <w:tcPr>
            <w:tcW w:w="3116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Е-управление</w:t>
            </w:r>
          </w:p>
        </w:tc>
        <w:tc>
          <w:tcPr>
            <w:tcW w:w="3117" w:type="dxa"/>
            <w:shd w:val="clear" w:color="auto" w:fill="auto"/>
          </w:tcPr>
          <w:p w:rsidR="00A33A45" w:rsidRPr="00410845" w:rsidRDefault="00A33A45" w:rsidP="00336091">
            <w:pPr>
              <w:tabs>
                <w:tab w:val="left" w:pos="3312"/>
              </w:tabs>
              <w:spacing w:before="12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410845">
              <w:rPr>
                <w:rFonts w:cs="Times New Roman"/>
                <w:noProof/>
                <w:szCs w:val="24"/>
              </w:rPr>
              <w:t>100%</w:t>
            </w:r>
          </w:p>
        </w:tc>
      </w:tr>
    </w:tbl>
    <w:p w:rsidR="00A33A45" w:rsidRPr="00410845" w:rsidRDefault="00A33A45" w:rsidP="00A3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2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Важно!</w:t>
      </w:r>
      <w:r w:rsidRPr="00410845">
        <w:rPr>
          <w:rFonts w:cs="Times New Roman"/>
          <w:noProof/>
          <w:szCs w:val="24"/>
        </w:rPr>
        <w:t xml:space="preserve"> </w:t>
      </w:r>
      <w:r w:rsidRPr="00410845">
        <w:rPr>
          <w:rFonts w:cs="Times New Roman"/>
          <w:b/>
          <w:noProof/>
          <w:szCs w:val="24"/>
        </w:rPr>
        <w:t xml:space="preserve">Показателите, измерващи целите на Политическата програма Цифрово десетилетие се считат за по-важни и следователно имат двойно тегло в рамките на своето подизмерение. </w:t>
      </w:r>
    </w:p>
    <w:p w:rsidR="00A33A45" w:rsidRPr="00410845" w:rsidRDefault="00A33A45" w:rsidP="00A33A45">
      <w:pPr>
        <w:tabs>
          <w:tab w:val="left" w:pos="6096"/>
        </w:tabs>
        <w:spacing w:before="120" w:after="0" w:line="276" w:lineRule="auto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Тези показатели са представени в следната таблица:</w:t>
      </w:r>
    </w:p>
    <w:p w:rsidR="00A33A45" w:rsidRDefault="00A33A45" w:rsidP="00A33A45">
      <w:pPr>
        <w:tabs>
          <w:tab w:val="left" w:pos="6096"/>
        </w:tabs>
        <w:spacing w:before="120" w:after="0" w:line="276" w:lineRule="auto"/>
        <w:rPr>
          <w:rFonts w:cs="Times New Roman"/>
          <w:b/>
          <w:noProof/>
          <w:szCs w:val="24"/>
          <w:u w:val="single"/>
        </w:rPr>
      </w:pPr>
      <w:r w:rsidRPr="00410845">
        <w:rPr>
          <w:rFonts w:cs="Times New Roman"/>
          <w:b/>
          <w:noProof/>
          <w:szCs w:val="24"/>
          <w:u w:val="single"/>
        </w:rPr>
        <w:t>DESI индикатори с удвоени тегловни части</w:t>
      </w:r>
      <w:bookmarkStart w:id="4" w:name="_GoBack"/>
      <w:bookmarkEnd w:id="4"/>
    </w:p>
    <w:p w:rsidR="006765DD" w:rsidRPr="00410845" w:rsidRDefault="006765DD" w:rsidP="00A33A45">
      <w:pPr>
        <w:tabs>
          <w:tab w:val="left" w:pos="6096"/>
        </w:tabs>
        <w:spacing w:before="120" w:after="0" w:line="276" w:lineRule="auto"/>
        <w:rPr>
          <w:rFonts w:cs="Times New Roman"/>
          <w:b/>
          <w:noProof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42"/>
      </w:tblGrid>
      <w:tr w:rsidR="00A33A45" w:rsidRPr="006765DD" w:rsidTr="00A33A45">
        <w:trPr>
          <w:trHeight w:val="1250"/>
        </w:trPr>
        <w:tc>
          <w:tcPr>
            <w:tcW w:w="4521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tabs>
                <w:tab w:val="left" w:pos="1392"/>
              </w:tabs>
              <w:spacing w:before="240"/>
              <w:outlineLvl w:val="0"/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</w:pPr>
            <w:bookmarkStart w:id="5" w:name="_Toc124780659"/>
            <w:r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>Човешки капитал</w:t>
            </w:r>
            <w:r w:rsidR="007160AD"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 xml:space="preserve"> - </w:t>
            </w:r>
            <w:r w:rsidR="007160AD" w:rsidRPr="006765DD">
              <w:rPr>
                <w:rFonts w:cs="Times New Roman"/>
                <w:i/>
                <w:noProof/>
                <w:sz w:val="20"/>
                <w:szCs w:val="20"/>
              </w:rPr>
              <w:t>включва индикатори които се отнасят до базови и задълбочени умения. Цифровите умения са  решаваща част от усвояването на ИКТ. Те изглеждат като критичен недостиг в развитието на цифровизираната икономика</w:t>
            </w:r>
            <w:bookmarkEnd w:id="5"/>
          </w:p>
        </w:tc>
        <w:tc>
          <w:tcPr>
            <w:tcW w:w="4542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</w:pPr>
            <w:bookmarkStart w:id="6" w:name="_Toc124780660"/>
            <w:r w:rsidRPr="006765DD"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  <w:t>Поне базови цифрови умения</w:t>
            </w:r>
            <w:bookmarkEnd w:id="6"/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ИКТ специалисти</w:t>
            </w:r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ИКТ специалисти жени</w:t>
            </w:r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</w:p>
        </w:tc>
      </w:tr>
      <w:tr w:rsidR="00A33A45" w:rsidRPr="006765DD" w:rsidTr="00A33A45">
        <w:tc>
          <w:tcPr>
            <w:tcW w:w="4521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</w:pPr>
            <w:bookmarkStart w:id="7" w:name="_Toc124780661"/>
            <w:r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>Свързаност</w:t>
            </w:r>
            <w:r w:rsidR="007160AD"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 xml:space="preserve"> - </w:t>
            </w:r>
            <w:r w:rsidR="007160AD" w:rsidRPr="006765DD">
              <w:rPr>
                <w:rFonts w:eastAsiaTheme="majorEastAsia" w:cs="Times New Roman"/>
                <w:i/>
                <w:noProof/>
                <w:color w:val="000000" w:themeColor="text1"/>
                <w:sz w:val="20"/>
                <w:szCs w:val="20"/>
              </w:rPr>
              <w:t>с  най-голямо влияние върху цифровата трансформация в ЕС. Широколентовата скорост има позитивен ефект върху БВП. Затова тази област включва индикатори които измерват цифровата инфраструктура  и качеството на свързаността</w:t>
            </w:r>
            <w:bookmarkEnd w:id="7"/>
          </w:p>
        </w:tc>
        <w:tc>
          <w:tcPr>
            <w:tcW w:w="4542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</w:pPr>
            <w:bookmarkStart w:id="8" w:name="_Toc124780662"/>
            <w:r w:rsidRPr="006765DD"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  <w:t>Гигабитов интернет за всеки/фиксирани мрежи с много голям капацитет</w:t>
            </w:r>
            <w:bookmarkEnd w:id="8"/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5G покритие</w:t>
            </w:r>
          </w:p>
        </w:tc>
      </w:tr>
      <w:tr w:rsidR="00A33A45" w:rsidRPr="006765DD" w:rsidTr="00A33A45">
        <w:tc>
          <w:tcPr>
            <w:tcW w:w="4521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tabs>
                <w:tab w:val="left" w:pos="900"/>
              </w:tabs>
              <w:spacing w:before="240"/>
              <w:outlineLvl w:val="0"/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</w:pPr>
            <w:bookmarkStart w:id="9" w:name="_Toc124780663"/>
            <w:r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>Интеграция на цифровите технологии</w:t>
            </w:r>
            <w:r w:rsidR="007160AD"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 xml:space="preserve"> - </w:t>
            </w:r>
            <w:r w:rsidR="007160AD" w:rsidRPr="006765DD">
              <w:rPr>
                <w:rFonts w:cs="Times New Roman"/>
                <w:i/>
                <w:noProof/>
                <w:sz w:val="20"/>
                <w:szCs w:val="20"/>
              </w:rPr>
              <w:t>покрива цифровизацията на бизнеса и електронната търговия. Факторите, движещи цифровата трансформация, идват както от страна на гражданите, така и от страна на бизнеса, където решенията и моделите се прилагат за нарастващ брой клиенти</w:t>
            </w:r>
            <w:bookmarkEnd w:id="9"/>
          </w:p>
        </w:tc>
        <w:tc>
          <w:tcPr>
            <w:tcW w:w="4542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</w:pPr>
            <w:bookmarkStart w:id="10" w:name="_Toc124780664"/>
            <w:r w:rsidRPr="006765DD"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  <w:t>МСП с базово/основно ниво на цифров интензитет</w:t>
            </w:r>
            <w:bookmarkEnd w:id="10"/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ИИ</w:t>
            </w:r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Облак</w:t>
            </w:r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Големи данни</w:t>
            </w:r>
          </w:p>
        </w:tc>
      </w:tr>
      <w:tr w:rsidR="00A33A45" w:rsidRPr="006765DD" w:rsidTr="00A33A45">
        <w:tc>
          <w:tcPr>
            <w:tcW w:w="4521" w:type="dxa"/>
            <w:shd w:val="clear" w:color="auto" w:fill="auto"/>
          </w:tcPr>
          <w:p w:rsidR="00A33A45" w:rsidRPr="006765DD" w:rsidRDefault="00A33A45" w:rsidP="007160AD">
            <w:pPr>
              <w:spacing w:before="120" w:line="276" w:lineRule="auto"/>
              <w:rPr>
                <w:rFonts w:cs="Times New Roman"/>
                <w:i/>
                <w:noProof/>
                <w:sz w:val="20"/>
                <w:szCs w:val="20"/>
              </w:rPr>
            </w:pPr>
            <w:r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>Цифрови обществени услуги</w:t>
            </w:r>
            <w:r w:rsidR="007160AD" w:rsidRPr="006765DD">
              <w:rPr>
                <w:rFonts w:eastAsiaTheme="majorEastAsia" w:cs="Times New Roman"/>
                <w:b/>
                <w:noProof/>
                <w:color w:val="000000" w:themeColor="text1"/>
                <w:sz w:val="20"/>
                <w:szCs w:val="20"/>
              </w:rPr>
              <w:t xml:space="preserve"> - </w:t>
            </w:r>
            <w:r w:rsidR="007160AD" w:rsidRPr="006765DD">
              <w:rPr>
                <w:rFonts w:cs="Times New Roman"/>
                <w:i/>
                <w:noProof/>
                <w:sz w:val="20"/>
                <w:szCs w:val="20"/>
              </w:rPr>
              <w:t xml:space="preserve">Цифровите технологии могат да помогнат на компаниите и гражданите да комуникират по-ефективно с правителството, а правителствата ще помогнат да се отговори на нуждите на </w:t>
            </w:r>
            <w:r w:rsidR="007160AD" w:rsidRPr="006765DD">
              <w:rPr>
                <w:rFonts w:cs="Times New Roman"/>
                <w:i/>
                <w:noProof/>
                <w:sz w:val="20"/>
                <w:szCs w:val="20"/>
              </w:rPr>
              <w:lastRenderedPageBreak/>
              <w:t xml:space="preserve">гражданите и бизнеса. Въздействието на електронното правителство върху икономиката е видимо чрез подобрено предоставяне на услуги и по-висока демократизация, по-ниски нива на корупция, както и по-висока конкурентоспособност на бизнеса. Някои проучвания показват, че развитието на цифрови обществени услуги е положително свързано с икономическия растеж поради намаляване на времето за генериране и предоставяне на услуги, подобряване на прозрачността в публичния сектор и по-достъпна обществена информация. потвърждават положителното въздействие на електронното правителство върху брутния вътрешен продукт на глава от населението </w:t>
            </w:r>
          </w:p>
        </w:tc>
        <w:tc>
          <w:tcPr>
            <w:tcW w:w="4542" w:type="dxa"/>
            <w:shd w:val="clear" w:color="auto" w:fill="auto"/>
          </w:tcPr>
          <w:p w:rsidR="00A33A45" w:rsidRPr="006765DD" w:rsidRDefault="00A33A45" w:rsidP="00336091">
            <w:pPr>
              <w:keepNext/>
              <w:keepLines/>
              <w:spacing w:before="240"/>
              <w:outlineLvl w:val="0"/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</w:pPr>
            <w:bookmarkStart w:id="11" w:name="_Toc124780665"/>
            <w:r w:rsidRPr="006765DD">
              <w:rPr>
                <w:rFonts w:eastAsiaTheme="majorEastAsia" w:cs="Times New Roman"/>
                <w:noProof/>
                <w:color w:val="000000" w:themeColor="text1"/>
                <w:sz w:val="20"/>
                <w:szCs w:val="20"/>
              </w:rPr>
              <w:lastRenderedPageBreak/>
              <w:t>Цифрови обществени услуги за граждани</w:t>
            </w:r>
            <w:bookmarkEnd w:id="11"/>
          </w:p>
          <w:p w:rsidR="00A33A45" w:rsidRPr="006765DD" w:rsidRDefault="00A33A45" w:rsidP="00336091">
            <w:pPr>
              <w:rPr>
                <w:rFonts w:cs="Times New Roman"/>
                <w:noProof/>
                <w:sz w:val="20"/>
                <w:szCs w:val="20"/>
              </w:rPr>
            </w:pPr>
            <w:r w:rsidRPr="006765DD">
              <w:rPr>
                <w:rFonts w:cs="Times New Roman"/>
                <w:noProof/>
                <w:sz w:val="20"/>
                <w:szCs w:val="20"/>
              </w:rPr>
              <w:t>Цифрови обществени услуги за бизнеса</w:t>
            </w:r>
          </w:p>
        </w:tc>
      </w:tr>
    </w:tbl>
    <w:p w:rsidR="00A33A45" w:rsidRPr="006765DD" w:rsidRDefault="00A33A45" w:rsidP="00A33A45">
      <w:pPr>
        <w:spacing w:before="120" w:after="0" w:line="276" w:lineRule="auto"/>
        <w:jc w:val="center"/>
        <w:rPr>
          <w:rFonts w:cs="Times New Roman"/>
          <w:sz w:val="20"/>
          <w:szCs w:val="20"/>
        </w:rPr>
      </w:pPr>
    </w:p>
    <w:p w:rsidR="00A33A45" w:rsidRPr="00410845" w:rsidRDefault="00A33A45" w:rsidP="00A33A45">
      <w:pPr>
        <w:pStyle w:val="Heading1"/>
        <w:numPr>
          <w:ilvl w:val="0"/>
          <w:numId w:val="26"/>
        </w:numPr>
        <w:rPr>
          <w:rFonts w:cs="Times New Roman"/>
          <w:noProof/>
          <w:szCs w:val="24"/>
        </w:rPr>
      </w:pPr>
      <w:bookmarkStart w:id="12" w:name="_Toc124780666"/>
      <w:r w:rsidRPr="00410845">
        <w:rPr>
          <w:rFonts w:cs="Times New Roman"/>
          <w:noProof/>
          <w:szCs w:val="24"/>
        </w:rPr>
        <w:t>Цифрова трансформация и икономически растеж чрез използване на DESI</w:t>
      </w:r>
      <w:bookmarkEnd w:id="12"/>
    </w:p>
    <w:p w:rsidR="007160AD" w:rsidRPr="00410845" w:rsidRDefault="007160AD" w:rsidP="007160AD">
      <w:p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Цифровизацията има потенциала да движи растежа устойчиво и равномерно като подобрява благосъстоянието на хората чрез иновации и подпомага икономическото развитие и устойчивост. Технологичната промяна е критичен фактор за икономическия растеж. Цифровата трансформация е процес тясно свързан с макроикономическата концепция за цифрова конкурентоспособност, тоест способността на страните да иползват цифровите технологии. Цифровата конкурентоспособност е ключов елемент на националните стратегии за постигане на икономически растеж и социално-икономическо развитие.</w:t>
      </w:r>
    </w:p>
    <w:p w:rsidR="00A33A45" w:rsidRPr="00410845" w:rsidRDefault="00A33A45" w:rsidP="00A33A45">
      <w:pPr>
        <w:pStyle w:val="ListParagraph"/>
        <w:numPr>
          <w:ilvl w:val="0"/>
          <w:numId w:val="25"/>
        </w:num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DESI като цялостна рамка за оценка на многопосочното влияние на цифровата революция върху обществото и икономиката</w:t>
      </w:r>
    </w:p>
    <w:p w:rsidR="00A33A45" w:rsidRPr="00410845" w:rsidRDefault="00A33A45" w:rsidP="00A33A45">
      <w:pPr>
        <w:pStyle w:val="ListParagraph"/>
        <w:numPr>
          <w:ilvl w:val="0"/>
          <w:numId w:val="25"/>
        </w:num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DESI като инструмент за идентифициране на разделението между богати и бедни страни в ЕС и премахването му чрез цифровата трансформация</w:t>
      </w:r>
    </w:p>
    <w:p w:rsidR="00A33A45" w:rsidRPr="00410845" w:rsidRDefault="00A33A45" w:rsidP="00336091">
      <w:pPr>
        <w:pStyle w:val="ListParagraph"/>
        <w:numPr>
          <w:ilvl w:val="0"/>
          <w:numId w:val="25"/>
        </w:num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Цифрова трансформация и икономически раст</w:t>
      </w:r>
      <w:r w:rsidR="007160AD" w:rsidRPr="00410845">
        <w:rPr>
          <w:rFonts w:cs="Times New Roman"/>
          <w:noProof/>
          <w:szCs w:val="24"/>
        </w:rPr>
        <w:t xml:space="preserve">еж - </w:t>
      </w:r>
      <w:r w:rsidRPr="00410845">
        <w:rPr>
          <w:rFonts w:cs="Times New Roman"/>
          <w:noProof/>
          <w:szCs w:val="24"/>
        </w:rPr>
        <w:t xml:space="preserve">Значението на DESI за обяснение на промените в БВП </w:t>
      </w:r>
      <w:r w:rsidR="007160AD" w:rsidRPr="00410845">
        <w:rPr>
          <w:rFonts w:cs="Times New Roman"/>
          <w:noProof/>
          <w:szCs w:val="24"/>
        </w:rPr>
        <w:t>на глава от населението</w:t>
      </w:r>
      <w:r w:rsidRPr="00410845">
        <w:rPr>
          <w:rFonts w:cs="Times New Roman"/>
          <w:noProof/>
          <w:szCs w:val="24"/>
        </w:rPr>
        <w:t xml:space="preserve"> в икономиките на ЕС. DESI като двигател за БВП </w:t>
      </w:r>
      <w:r w:rsidR="007160AD" w:rsidRPr="00410845">
        <w:rPr>
          <w:rFonts w:cs="Times New Roman"/>
          <w:noProof/>
          <w:szCs w:val="24"/>
        </w:rPr>
        <w:t>на глава от населението</w:t>
      </w:r>
    </w:p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noProof/>
          <w:szCs w:val="24"/>
        </w:rPr>
      </w:pPr>
    </w:p>
    <w:p w:rsidR="00A33A45" w:rsidRPr="00410845" w:rsidRDefault="00A33A45" w:rsidP="00A33A45">
      <w:pPr>
        <w:pStyle w:val="ListParagraph"/>
        <w:numPr>
          <w:ilvl w:val="0"/>
          <w:numId w:val="25"/>
        </w:numPr>
        <w:spacing w:before="120" w:after="0" w:line="276" w:lineRule="auto"/>
        <w:jc w:val="both"/>
        <w:rPr>
          <w:rFonts w:cs="Times New Roman"/>
          <w:b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 xml:space="preserve">DESI като прокси за икономически растеж /развитие </w:t>
      </w:r>
    </w:p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i/>
          <w:noProof/>
          <w:szCs w:val="24"/>
        </w:rPr>
      </w:pPr>
      <w:r w:rsidRPr="00410845">
        <w:rPr>
          <w:rFonts w:cs="Times New Roman"/>
          <w:i/>
          <w:noProof/>
          <w:szCs w:val="24"/>
        </w:rPr>
        <w:t xml:space="preserve">В Анализа  на Делойт/2021 се предлага цифровата трансформация да стане централна част от политиката за развитие на икономиките на ЕС. Държавите от ЕС вече имат възможност да използват </w:t>
      </w:r>
      <w:r w:rsidRPr="00410845">
        <w:rPr>
          <w:rFonts w:cs="Times New Roman"/>
          <w:b/>
          <w:i/>
          <w:noProof/>
          <w:szCs w:val="24"/>
        </w:rPr>
        <w:t>цифровата конвергенция, измерена от DESI</w:t>
      </w:r>
      <w:r w:rsidRPr="00410845">
        <w:rPr>
          <w:rFonts w:cs="Times New Roman"/>
          <w:i/>
          <w:noProof/>
          <w:szCs w:val="24"/>
        </w:rPr>
        <w:t xml:space="preserve">, за да подкрепят едновременно по-дългосрочната цел на ЕС: </w:t>
      </w:r>
      <w:r w:rsidRPr="00410845">
        <w:rPr>
          <w:rFonts w:cs="Times New Roman"/>
          <w:b/>
          <w:i/>
          <w:noProof/>
          <w:szCs w:val="24"/>
        </w:rPr>
        <w:t>икономическа конвергенция</w:t>
      </w:r>
      <w:r w:rsidRPr="00410845">
        <w:rPr>
          <w:rFonts w:cs="Times New Roman"/>
          <w:i/>
          <w:noProof/>
          <w:szCs w:val="24"/>
        </w:rPr>
        <w:t xml:space="preserve">. Тези препоръки са особено важни за по-бедните страни от ЕС и са в съответствие с предложението на ОИСР (2020b) за страните от Латинска Америка да използват силна цифрова трансформация, за да преодолеят капаните на развитието. За да се преодолее икономическата пропаст между бедните и богатите държави от ЕС, ще са необходими някои проактивни действия на всички нива, особено за насърчаване на развитието и </w:t>
      </w:r>
      <w:r w:rsidRPr="00410845">
        <w:rPr>
          <w:rFonts w:cs="Times New Roman"/>
          <w:i/>
          <w:noProof/>
          <w:szCs w:val="24"/>
        </w:rPr>
        <w:lastRenderedPageBreak/>
        <w:t>възприемането на технологии с висок потенциал.  Възможност за прилагане на този тип действия е използването на инструмента Next Generation EU.</w:t>
      </w:r>
    </w:p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i/>
          <w:noProof/>
          <w:szCs w:val="24"/>
        </w:rPr>
      </w:pPr>
      <w:r w:rsidRPr="00410845">
        <w:rPr>
          <w:rFonts w:cs="Times New Roman"/>
          <w:b/>
          <w:i/>
          <w:noProof/>
          <w:szCs w:val="24"/>
        </w:rPr>
        <w:t>DESI е полезен за обяснение на промените в БВП на глава от населението</w:t>
      </w:r>
      <w:r w:rsidRPr="00410845">
        <w:rPr>
          <w:rFonts w:cs="Times New Roman"/>
          <w:i/>
          <w:noProof/>
          <w:szCs w:val="24"/>
        </w:rPr>
        <w:t>. Това е добра новина за най-бедните страни от ЕС, защото пропастта между богатите и бедните страни в Европейския съюз може да бъде затворена или премахната чрез бърза и интензивна цифрова трансформация. За всяка държава, е от решаващо значение да осигури растеж на БВП за   да достигне висок етап на развитие.</w:t>
      </w:r>
    </w:p>
    <w:p w:rsidR="00A33A45" w:rsidRPr="00410845" w:rsidRDefault="00A33A45" w:rsidP="00A33A45">
      <w:pPr>
        <w:spacing w:before="120" w:after="0" w:line="276" w:lineRule="auto"/>
        <w:jc w:val="both"/>
        <w:rPr>
          <w:rFonts w:cs="Times New Roman"/>
          <w:i/>
          <w:noProof/>
          <w:szCs w:val="24"/>
        </w:rPr>
      </w:pPr>
      <w:r w:rsidRPr="00410845">
        <w:rPr>
          <w:rFonts w:cs="Times New Roman"/>
          <w:i/>
          <w:noProof/>
          <w:szCs w:val="24"/>
        </w:rPr>
        <w:t>В Анализа  на Делойт/2021 - 10% увеличение на DESI води до  0,65% увеличение на БВП на глава от населението</w:t>
      </w:r>
    </w:p>
    <w:p w:rsidR="000D226B" w:rsidRPr="00410845" w:rsidRDefault="000D226B" w:rsidP="0034202F">
      <w:pPr>
        <w:spacing w:before="120" w:after="0" w:line="276" w:lineRule="auto"/>
        <w:jc w:val="both"/>
        <w:rPr>
          <w:rFonts w:cs="Times New Roman"/>
          <w:szCs w:val="24"/>
        </w:rPr>
      </w:pPr>
    </w:p>
    <w:p w:rsidR="000B5B98" w:rsidRPr="00410845" w:rsidRDefault="00C242B4" w:rsidP="00406A94">
      <w:pPr>
        <w:pStyle w:val="Heading1"/>
        <w:numPr>
          <w:ilvl w:val="0"/>
          <w:numId w:val="26"/>
        </w:numPr>
        <w:spacing w:before="120" w:line="276" w:lineRule="auto"/>
        <w:rPr>
          <w:rFonts w:cs="Times New Roman"/>
          <w:noProof/>
          <w:szCs w:val="24"/>
        </w:rPr>
      </w:pPr>
      <w:bookmarkStart w:id="13" w:name="_Toc124780667"/>
      <w:r w:rsidRPr="00410845">
        <w:rPr>
          <w:rFonts w:cs="Times New Roman"/>
          <w:noProof/>
          <w:szCs w:val="24"/>
        </w:rPr>
        <w:t>Поглед към предстоящото - ц</w:t>
      </w:r>
      <w:r w:rsidR="000B5B98" w:rsidRPr="00410845">
        <w:rPr>
          <w:rFonts w:cs="Times New Roman"/>
          <w:noProof/>
          <w:szCs w:val="24"/>
        </w:rPr>
        <w:t>ифрова трансформация на ЕС до 2030 г.</w:t>
      </w:r>
      <w:bookmarkEnd w:id="13"/>
    </w:p>
    <w:p w:rsidR="005121FE" w:rsidRPr="00410845" w:rsidRDefault="00751ABA" w:rsidP="005121FE">
      <w:pPr>
        <w:keepNext/>
        <w:keepLines/>
        <w:spacing w:before="120" w:after="0" w:line="276" w:lineRule="auto"/>
        <w:outlineLvl w:val="1"/>
        <w:rPr>
          <w:rFonts w:eastAsia="Calibri" w:cs="Times New Roman"/>
          <w:b/>
          <w:noProof/>
          <w:szCs w:val="24"/>
        </w:rPr>
      </w:pPr>
      <w:hyperlink r:id="rId12" w:history="1">
        <w:bookmarkStart w:id="14" w:name="_Toc124780668"/>
        <w:r w:rsidR="005121FE" w:rsidRPr="00410845">
          <w:rPr>
            <w:rFonts w:eastAsia="Calibri" w:cs="Times New Roman"/>
            <w:b/>
            <w:noProof/>
            <w:color w:val="0000FF"/>
            <w:szCs w:val="24"/>
            <w:u w:val="single"/>
          </w:rPr>
          <w:t>Цифров компас за 2030 г.: Как да начертаем пътя към цифровото бъдеще на ЕС?“</w:t>
        </w:r>
        <w:bookmarkEnd w:id="14"/>
      </w:hyperlink>
    </w:p>
    <w:p w:rsidR="005121FE" w:rsidRPr="00410845" w:rsidRDefault="005121FE" w:rsidP="005121FE">
      <w:p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Визията и целите за 2030 г.,</w:t>
      </w:r>
      <w:r w:rsidRPr="00410845">
        <w:rPr>
          <w:rFonts w:cs="Times New Roman"/>
          <w:noProof/>
          <w:szCs w:val="24"/>
        </w:rPr>
        <w:t xml:space="preserve"> зададени в съобщението за Цифровия компас, подчертават стремежа на Европа към </w:t>
      </w:r>
      <w:r w:rsidRPr="00410845">
        <w:rPr>
          <w:rFonts w:cs="Times New Roman"/>
          <w:noProof/>
          <w:szCs w:val="24"/>
          <w:u w:val="single"/>
        </w:rPr>
        <w:t>цифров суверенитет, отворена стратегическа автономност и споделена отговорност</w:t>
      </w:r>
      <w:r w:rsidRPr="00410845">
        <w:rPr>
          <w:rFonts w:cs="Times New Roman"/>
          <w:noProof/>
          <w:szCs w:val="24"/>
        </w:rPr>
        <w:t xml:space="preserve"> да се осигури възможност за устойчиво и проспериращо цифрово бъдеще на хората и предприятията, основано на технологичното лидерство.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 xml:space="preserve">България споделя виждането, че цифровото десетилетие на ЕС следва да е фокусирано върху </w:t>
      </w:r>
      <w:r w:rsidRPr="00410845">
        <w:rPr>
          <w:rFonts w:cs="Times New Roman"/>
          <w:noProof/>
          <w:szCs w:val="24"/>
          <w:u w:val="single"/>
        </w:rPr>
        <w:t>свързаността, цифровите умения, цифровата трансформация на бизнеса и цифровите обществени услуги</w:t>
      </w:r>
      <w:r w:rsidRPr="00410845">
        <w:rPr>
          <w:rFonts w:cs="Times New Roman"/>
          <w:noProof/>
          <w:szCs w:val="24"/>
        </w:rPr>
        <w:t>, следвайки принципите на свобода на словото и информацията, правото на неприкосновеност на личния живот, свободното движение на данни и киберсигурността.</w:t>
      </w:r>
    </w:p>
    <w:p w:rsidR="005121FE" w:rsidRPr="00410845" w:rsidRDefault="00751ABA" w:rsidP="005121FE">
      <w:pPr>
        <w:keepNext/>
        <w:keepLines/>
        <w:spacing w:before="120" w:after="0" w:line="276" w:lineRule="auto"/>
        <w:outlineLvl w:val="1"/>
        <w:rPr>
          <w:rFonts w:eastAsiaTheme="majorEastAsia" w:cs="Times New Roman"/>
          <w:b/>
          <w:szCs w:val="24"/>
        </w:rPr>
      </w:pPr>
      <w:hyperlink r:id="rId13" w:history="1">
        <w:bookmarkStart w:id="15" w:name="_Toc124780669"/>
        <w:r w:rsidR="005121FE" w:rsidRPr="00410845">
          <w:rPr>
            <w:rFonts w:eastAsiaTheme="majorEastAsia" w:cs="Times New Roman"/>
            <w:b/>
            <w:color w:val="0000FF"/>
            <w:szCs w:val="24"/>
            <w:u w:val="single"/>
          </w:rPr>
          <w:t>Политическа програма на ЕС до 2030 г. „Цифрово десетилетие“</w:t>
        </w:r>
        <w:bookmarkEnd w:id="15"/>
      </w:hyperlink>
    </w:p>
    <w:p w:rsidR="005121FE" w:rsidRPr="00410845" w:rsidRDefault="005121FE" w:rsidP="005121FE">
      <w:p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През януари 2023 г.</w:t>
      </w:r>
      <w:r w:rsidRPr="00410845">
        <w:rPr>
          <w:rFonts w:cs="Times New Roman"/>
          <w:noProof/>
          <w:szCs w:val="24"/>
        </w:rPr>
        <w:t xml:space="preserve"> влиза в сила Политическата програма за цифровото десетилетие до 2030 г., която въвежда структуриран процес на сътрудничество между ЕК и държавите-членки, включващ Европейския парламент, за колективна работа за постигане на цели на ниво ЕС, както и за общи по-широки цели и напредък в прилагането на практика на приетата декларация за цифровите права и принципи. 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szCs w:val="24"/>
          <w:lang w:eastAsia="bg-BG" w:bidi="bg-BG"/>
        </w:rPr>
      </w:pPr>
      <w:r w:rsidRPr="00410845">
        <w:rPr>
          <w:rFonts w:cs="Times New Roman"/>
          <w:noProof/>
          <w:szCs w:val="24"/>
        </w:rPr>
        <w:t xml:space="preserve">Политическата програма въвежда </w:t>
      </w:r>
      <w:r w:rsidRPr="00410845">
        <w:rPr>
          <w:rFonts w:cs="Times New Roman"/>
          <w:b/>
          <w:noProof/>
          <w:szCs w:val="24"/>
        </w:rPr>
        <w:t>нова рамка за управление</w:t>
      </w:r>
      <w:r w:rsidRPr="00410845">
        <w:rPr>
          <w:rFonts w:cs="Times New Roman"/>
          <w:noProof/>
          <w:szCs w:val="24"/>
        </w:rPr>
        <w:t>, тясно сътрудничество и ефективна координация между ЕК и държавите членки</w:t>
      </w:r>
      <w:r w:rsidRPr="00410845">
        <w:rPr>
          <w:rFonts w:eastAsia="Calibri" w:cs="Times New Roman"/>
          <w:szCs w:val="24"/>
          <w:lang w:eastAsia="bg-BG" w:bidi="bg-BG"/>
        </w:rPr>
        <w:t xml:space="preserve"> за постигане на целите в областта на </w:t>
      </w:r>
      <w:r w:rsidRPr="00410845">
        <w:rPr>
          <w:rFonts w:eastAsia="Calibri" w:cs="Times New Roman"/>
          <w:szCs w:val="24"/>
          <w:u w:val="single"/>
          <w:lang w:eastAsia="bg-BG" w:bidi="bg-BG"/>
        </w:rPr>
        <w:t>цифровите умения, цифровите инфраструктури, цифровизацията на предприятията и обществените услуги</w:t>
      </w:r>
      <w:r w:rsidRPr="00410845">
        <w:rPr>
          <w:rFonts w:eastAsia="Calibri" w:cs="Times New Roman"/>
          <w:b/>
          <w:szCs w:val="24"/>
          <w:lang w:eastAsia="bg-BG" w:bidi="bg-BG"/>
        </w:rPr>
        <w:t xml:space="preserve">. </w:t>
      </w:r>
      <w:r w:rsidR="00DE69BC" w:rsidRPr="00120835">
        <w:rPr>
          <w:rFonts w:cs="Times New Roman"/>
          <w:szCs w:val="24"/>
        </w:rPr>
        <w:t xml:space="preserve">Политическата програма </w:t>
      </w:r>
      <w:r w:rsidR="00DE69BC" w:rsidRPr="00521388">
        <w:rPr>
          <w:rFonts w:cs="Times New Roman"/>
          <w:szCs w:val="24"/>
        </w:rPr>
        <w:t>Цифрово десетилетие  2030</w:t>
      </w:r>
      <w:r w:rsidR="00DE69BC" w:rsidRPr="006441A9">
        <w:rPr>
          <w:rFonts w:cs="Times New Roman"/>
          <w:szCs w:val="24"/>
        </w:rPr>
        <w:t xml:space="preserve">  е първата хоризонтална стратегия в областта на цифровите технологии, одобрена от Европейския парламент, Съвета и Комисията, </w:t>
      </w:r>
      <w:r w:rsidR="00DE69BC" w:rsidRPr="00006163">
        <w:rPr>
          <w:rFonts w:cs="Times New Roman"/>
          <w:szCs w:val="24"/>
        </w:rPr>
        <w:t>в сравнение с Цифрова</w:t>
      </w:r>
      <w:r w:rsidR="00DE69BC">
        <w:rPr>
          <w:rFonts w:cs="Times New Roman"/>
          <w:szCs w:val="24"/>
        </w:rPr>
        <w:t>та</w:t>
      </w:r>
      <w:r w:rsidR="00DE69BC" w:rsidRPr="00006163">
        <w:rPr>
          <w:rFonts w:cs="Times New Roman"/>
          <w:szCs w:val="24"/>
        </w:rPr>
        <w:t xml:space="preserve"> програма за Европа и Цифров</w:t>
      </w:r>
      <w:r w:rsidR="00DE69BC">
        <w:rPr>
          <w:rFonts w:cs="Times New Roman"/>
          <w:szCs w:val="24"/>
        </w:rPr>
        <w:t>ия</w:t>
      </w:r>
      <w:r w:rsidR="00DE69BC" w:rsidRPr="00006163">
        <w:rPr>
          <w:rFonts w:cs="Times New Roman"/>
          <w:szCs w:val="24"/>
        </w:rPr>
        <w:t xml:space="preserve"> единен пазар и е </w:t>
      </w:r>
      <w:r w:rsidR="00DE69BC" w:rsidRPr="00006163">
        <w:rPr>
          <w:rFonts w:cs="Times New Roman"/>
          <w:b/>
          <w:szCs w:val="24"/>
        </w:rPr>
        <w:t>най-важната стъпка в процеса на изготвяне на политиките в областта на цифровите технологии</w:t>
      </w:r>
      <w:r w:rsidR="00DE69BC" w:rsidRPr="009A1208">
        <w:rPr>
          <w:rFonts w:cs="Times New Roman"/>
          <w:b/>
          <w:szCs w:val="24"/>
        </w:rPr>
        <w:t xml:space="preserve">. </w:t>
      </w:r>
      <w:r w:rsidRPr="00410845">
        <w:rPr>
          <w:rFonts w:eastAsia="Calibri" w:cs="Times New Roman"/>
          <w:szCs w:val="24"/>
          <w:lang w:eastAsia="bg-BG" w:bidi="bg-BG"/>
        </w:rPr>
        <w:t xml:space="preserve">ЕК и държавите членки ще определят </w:t>
      </w:r>
      <w:r w:rsidRPr="00410845">
        <w:rPr>
          <w:rFonts w:eastAsia="Calibri" w:cs="Times New Roman"/>
          <w:b/>
          <w:szCs w:val="24"/>
          <w:lang w:eastAsia="bg-BG" w:bidi="bg-BG"/>
        </w:rPr>
        <w:t>траектории от междинни цели на ниво ЕС и на национално ниво</w:t>
      </w:r>
      <w:r w:rsidRPr="00410845">
        <w:rPr>
          <w:rFonts w:eastAsia="Calibri" w:cs="Times New Roman"/>
          <w:szCs w:val="24"/>
          <w:lang w:eastAsia="bg-BG" w:bidi="bg-BG"/>
        </w:rPr>
        <w:t xml:space="preserve"> за изпълнението на десетгодишния план за изграждане на цифрова Европа до 2030 г.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szCs w:val="24"/>
          <w:lang w:eastAsia="bg-BG" w:bidi="bg-BG"/>
        </w:rPr>
      </w:pPr>
      <w:r w:rsidRPr="00410845">
        <w:rPr>
          <w:rFonts w:eastAsia="Calibri" w:cs="Times New Roman"/>
          <w:szCs w:val="24"/>
          <w:lang w:eastAsia="bg-BG" w:bidi="bg-BG"/>
        </w:rPr>
        <w:t>Програмата цели и формулирането и осъществяването на мащабни многонационални цифрови проекти, наблюдение за спазване на цифровите принципи, наблюдение на инфраструктурата и критично важни празноти в капацитета, изграждане на консенсус и др.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lastRenderedPageBreak/>
        <w:t xml:space="preserve">Предвижда се </w:t>
      </w:r>
      <w:r w:rsidRPr="00410845">
        <w:rPr>
          <w:rFonts w:cs="Times New Roman"/>
          <w:b/>
          <w:szCs w:val="24"/>
        </w:rPr>
        <w:t>създаване на нова структура - консорциум за европейска цифрова инфраструктура</w:t>
      </w:r>
      <w:r w:rsidRPr="00410845">
        <w:rPr>
          <w:rFonts w:cs="Times New Roman"/>
          <w:szCs w:val="24"/>
        </w:rPr>
        <w:t xml:space="preserve">, която ще позволи разработване и изпълнение на многонационални проекти. </w:t>
      </w:r>
    </w:p>
    <w:p w:rsidR="005121FE" w:rsidRPr="00410845" w:rsidRDefault="005121FE" w:rsidP="005121FE">
      <w:p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 xml:space="preserve">Комисията първо ще разработи прогнозни траектории на ЕС за всяка цел, заедно с държавите членки, които на свой ред ще предложат </w:t>
      </w:r>
      <w:r w:rsidRPr="00410845">
        <w:rPr>
          <w:rFonts w:cs="Times New Roman"/>
          <w:noProof/>
          <w:szCs w:val="24"/>
          <w:u w:val="single"/>
        </w:rPr>
        <w:t>национални стратегически пътни карти</w:t>
      </w:r>
      <w:r w:rsidRPr="00410845">
        <w:rPr>
          <w:rFonts w:cs="Times New Roman"/>
          <w:noProof/>
          <w:szCs w:val="24"/>
        </w:rPr>
        <w:t xml:space="preserve"> за постигането на целите. В тези карти ще бъдат включени националните траектории заедно с всички настоящи или планирани политики или инструменти, които държавите възнамеряват да използват. </w:t>
      </w:r>
    </w:p>
    <w:p w:rsidR="005121FE" w:rsidRPr="00410845" w:rsidRDefault="005121FE" w:rsidP="005121FE">
      <w:p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 xml:space="preserve">Ежегодно Комисията ще представя на Европейския парламент и на Съвета на ЕС </w:t>
      </w:r>
      <w:r w:rsidRPr="00410845">
        <w:rPr>
          <w:rFonts w:cs="Times New Roman"/>
          <w:noProof/>
          <w:szCs w:val="24"/>
          <w:u w:val="single"/>
        </w:rPr>
        <w:t>Доклад за състоянието на цифровото десетилетие</w:t>
      </w:r>
      <w:r w:rsidRPr="00410845">
        <w:rPr>
          <w:rFonts w:cs="Times New Roman"/>
          <w:noProof/>
          <w:szCs w:val="24"/>
        </w:rPr>
        <w:t>. Докладът:</w:t>
      </w:r>
    </w:p>
    <w:p w:rsidR="005121FE" w:rsidRPr="00410845" w:rsidRDefault="005121FE" w:rsidP="005121FE">
      <w:pPr>
        <w:numPr>
          <w:ilvl w:val="0"/>
          <w:numId w:val="35"/>
        </w:num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ще определя областите, в които са необходими допълнителни действия;</w:t>
      </w:r>
    </w:p>
    <w:p w:rsidR="005121FE" w:rsidRPr="00410845" w:rsidRDefault="005121FE" w:rsidP="005121FE">
      <w:pPr>
        <w:numPr>
          <w:ilvl w:val="0"/>
          <w:numId w:val="35"/>
        </w:num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 xml:space="preserve">ще анализира недостига на инвестиции или други ресурси и ще очертава мерките, които са необходими за укрепване на цифровия суверенитет на ЕС; </w:t>
      </w:r>
    </w:p>
    <w:p w:rsidR="005121FE" w:rsidRPr="00410845" w:rsidRDefault="005121FE" w:rsidP="005121FE">
      <w:pPr>
        <w:numPr>
          <w:ilvl w:val="0"/>
          <w:numId w:val="35"/>
        </w:num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noProof/>
          <w:szCs w:val="24"/>
        </w:rPr>
        <w:t>ще дава оценка на прилагането на съответните регулаторни предложения и на действията на ниво ЕС и на национално ниво.</w:t>
      </w:r>
    </w:p>
    <w:p w:rsidR="005121FE" w:rsidRPr="00410845" w:rsidRDefault="009B2A23" w:rsidP="005121FE">
      <w:p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Държавите членки ще</w:t>
      </w:r>
      <w:r w:rsidR="005121FE" w:rsidRPr="00410845">
        <w:rPr>
          <w:rFonts w:cs="Times New Roman"/>
          <w:noProof/>
          <w:szCs w:val="24"/>
        </w:rPr>
        <w:t xml:space="preserve"> адаптират своите националн</w:t>
      </w:r>
      <w:r>
        <w:rPr>
          <w:rFonts w:cs="Times New Roman"/>
          <w:noProof/>
          <w:szCs w:val="24"/>
        </w:rPr>
        <w:t>и стратегически пътни карти и ще</w:t>
      </w:r>
      <w:r w:rsidR="005121FE" w:rsidRPr="00410845">
        <w:rPr>
          <w:rFonts w:cs="Times New Roman"/>
          <w:noProof/>
          <w:szCs w:val="24"/>
        </w:rPr>
        <w:t xml:space="preserve"> ги съгласуват с препоръките в доклада. Те ще могат да предлагат допълнителни коригиращи мерки. За ускореното разработване и изпълнение на многонационални проекти ще способстват консорциуми за европейски цифрови инфраструктури (EDIC) – нов инструмент, предложен от ЕК за постигането на целите за цифровата трансформация.</w:t>
      </w:r>
    </w:p>
    <w:p w:rsidR="005121FE" w:rsidRPr="00410845" w:rsidRDefault="005121FE" w:rsidP="005121FE">
      <w:pPr>
        <w:tabs>
          <w:tab w:val="left" w:pos="5880"/>
        </w:tabs>
        <w:spacing w:before="120" w:after="0" w:line="276" w:lineRule="auto"/>
        <w:jc w:val="both"/>
        <w:rPr>
          <w:rFonts w:cs="Times New Roman"/>
          <w:noProof/>
          <w:szCs w:val="24"/>
        </w:rPr>
      </w:pPr>
      <w:r w:rsidRPr="00410845">
        <w:rPr>
          <w:rFonts w:cs="Times New Roman"/>
          <w:b/>
          <w:noProof/>
          <w:szCs w:val="24"/>
        </w:rPr>
        <w:t>Единното звено за контакт за България с Европейската комисия по въпросите на цифровата трансформация е Министерството на електронното управление.</w:t>
      </w:r>
      <w:r w:rsidRPr="00410845">
        <w:rPr>
          <w:rFonts w:cs="Times New Roman"/>
          <w:noProof/>
          <w:szCs w:val="24"/>
        </w:rPr>
        <w:t xml:space="preserve"> С Решение C (2016) 3301 на ЕК се създава </w:t>
      </w:r>
      <w:r w:rsidRPr="00410845">
        <w:rPr>
          <w:rFonts w:cs="Times New Roman"/>
          <w:b/>
          <w:bCs/>
          <w:noProof/>
          <w:szCs w:val="24"/>
        </w:rPr>
        <w:t>Управителен съвет за цифровото десетилетие</w:t>
      </w:r>
      <w:r w:rsidRPr="00410845">
        <w:rPr>
          <w:rFonts w:cs="Times New Roman"/>
          <w:noProof/>
          <w:szCs w:val="24"/>
        </w:rPr>
        <w:t xml:space="preserve"> </w:t>
      </w:r>
      <w:r w:rsidRPr="00410845">
        <w:rPr>
          <w:rFonts w:cs="Times New Roman"/>
          <w:b/>
          <w:bCs/>
          <w:noProof/>
          <w:szCs w:val="24"/>
        </w:rPr>
        <w:t xml:space="preserve">(Съвета), </w:t>
      </w:r>
      <w:r w:rsidRPr="00410845">
        <w:rPr>
          <w:rFonts w:cs="Times New Roman"/>
          <w:noProof/>
          <w:szCs w:val="24"/>
        </w:rPr>
        <w:t>който ще подпомага и консултира Комисията по въпросите на цифровата трансформация, включително съответното законодателство, политики, мерки и действия, които допринасят за постигането на целите в областта на цифровите технологии до 2030 г. и общите цели, определени в програмата на политиката за цифровото десетилетие до 2030 г., както и външното измерение на цифровото десетилетие, като взема предвид Декларацията за цифровите права и принципи и нейното прилагане. От българска страна, представители в Съвета са МЕУ (титуляр) и Министерството на транспорта и съобщенията и Министерството на иновациите и растежа (заместници).</w:t>
      </w:r>
    </w:p>
    <w:p w:rsidR="00D75539" w:rsidRPr="00410845" w:rsidRDefault="00D75539" w:rsidP="00D7553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both"/>
        <w:rPr>
          <w:rFonts w:eastAsia="Calibri" w:cs="Times New Roman"/>
          <w:noProof/>
          <w:color w:val="000000"/>
          <w:szCs w:val="24"/>
          <w:u w:color="000000"/>
          <w:bdr w:val="nil"/>
        </w:rPr>
      </w:pPr>
      <w:r w:rsidRPr="00410845">
        <w:rPr>
          <w:rFonts w:eastAsia="Calibri" w:cs="Times New Roman"/>
          <w:noProof/>
          <w:color w:val="000000"/>
          <w:szCs w:val="24"/>
          <w:u w:color="000000"/>
          <w:bdr w:val="nil"/>
        </w:rPr>
        <w:t>Държавите членки следва да адаптират своите национални стратегически документи съгласно целите и принципите на Програмата за цифрова политика и да включат в тяхното изпълнение многонационални проекти там, където това е допустимо и възможно. Финансирането на тези проекти в националните стратегически пътни карти може да става чрез националните планове към Механизма за възстановяване и устойчивост.</w:t>
      </w:r>
    </w:p>
    <w:p w:rsidR="005121FE" w:rsidRPr="00410845" w:rsidRDefault="00751ABA" w:rsidP="005121FE">
      <w:pPr>
        <w:keepNext/>
        <w:keepLines/>
        <w:spacing w:before="120" w:after="0" w:line="276" w:lineRule="auto"/>
        <w:jc w:val="both"/>
        <w:outlineLvl w:val="1"/>
        <w:rPr>
          <w:rFonts w:eastAsiaTheme="majorEastAsia" w:cs="Times New Roman"/>
          <w:b/>
          <w:szCs w:val="24"/>
        </w:rPr>
      </w:pPr>
      <w:hyperlink r:id="rId14" w:history="1">
        <w:bookmarkStart w:id="16" w:name="_Toc124780670"/>
        <w:r w:rsidR="005121FE" w:rsidRPr="00410845">
          <w:rPr>
            <w:rFonts w:eastAsiaTheme="majorEastAsia" w:cs="Times New Roman"/>
            <w:b/>
            <w:color w:val="0000FF"/>
            <w:szCs w:val="24"/>
            <w:u w:val="single"/>
          </w:rPr>
          <w:t>Европейска декларация относно цифровите права и принципи за цифровото десетилетие</w:t>
        </w:r>
        <w:bookmarkEnd w:id="16"/>
      </w:hyperlink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 xml:space="preserve">На 26 януари 2022 г. Европейската комисия публикува своето предложение за </w:t>
      </w:r>
      <w:hyperlink r:id="rId15" w:history="1">
        <w:r w:rsidRPr="00410845">
          <w:rPr>
            <w:rFonts w:eastAsia="Calibri" w:cs="Times New Roman"/>
            <w:bCs/>
            <w:noProof/>
            <w:color w:val="0000FF"/>
            <w:szCs w:val="24"/>
            <w:u w:val="single"/>
          </w:rPr>
          <w:t>„Европейска декларация за цифровите права и принципи за цифровото десетилетие“</w:t>
        </w:r>
      </w:hyperlink>
      <w:r w:rsidRPr="00410845">
        <w:rPr>
          <w:rFonts w:eastAsia="Calibri" w:cs="Times New Roman"/>
          <w:bCs/>
          <w:noProof/>
          <w:szCs w:val="24"/>
        </w:rPr>
        <w:t xml:space="preserve">. Декларацията </w:t>
      </w:r>
      <w:r w:rsidRPr="00410845">
        <w:rPr>
          <w:rFonts w:eastAsia="Calibri" w:cs="Times New Roman"/>
          <w:bCs/>
          <w:noProof/>
          <w:szCs w:val="24"/>
        </w:rPr>
        <w:lastRenderedPageBreak/>
        <w:t>транспонира основните права на гражданите на ЕС в цифровата сфера, надграждайки предишни декларации и Хартата на основните права на ЕС. Той също така рисува „по-голямата картина“ за много скорошни законодателни инициативи в ЕС, като изчерпателно кодифицира различни специфични принципи, които вече ръководят институциите на ЕС в усилията им да създадат „дигитализирана“ законодателна рамка. Въпреки че декларацията е политическа декларация, а не обвързващо законодателство, тя все пак ще има косвен ефект върху всяка компания, която извършва бизнес дигитално в ЕС, тъй като бъдещото законодателство със сигурност ще включва и ще бъде приведено в съответствие с тези нови принципи.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Европейската декларация за цифровит</w:t>
      </w:r>
      <w:r w:rsidR="009B2A23">
        <w:rPr>
          <w:rFonts w:eastAsia="Calibri" w:cs="Times New Roman"/>
          <w:bCs/>
          <w:noProof/>
          <w:szCs w:val="24"/>
        </w:rPr>
        <w:t xml:space="preserve">е права има за цел да насочи </w:t>
      </w:r>
      <w:r w:rsidRPr="00410845">
        <w:rPr>
          <w:rFonts w:eastAsia="Calibri" w:cs="Times New Roman"/>
          <w:bCs/>
          <w:noProof/>
          <w:szCs w:val="24"/>
        </w:rPr>
        <w:t xml:space="preserve">Европейския съюз в неговия „Път към цифровото десетилетие“ (друго </w:t>
      </w:r>
      <w:hyperlink r:id="rId16" w:history="1">
        <w:r w:rsidRPr="00410845">
          <w:rPr>
            <w:rFonts w:eastAsia="Calibri" w:cs="Times New Roman"/>
            <w:bCs/>
            <w:noProof/>
            <w:color w:val="0000FF"/>
            <w:szCs w:val="24"/>
            <w:u w:val="single"/>
          </w:rPr>
          <w:t>предложение на ЕС</w:t>
        </w:r>
      </w:hyperlink>
      <w:r w:rsidRPr="00410845">
        <w:rPr>
          <w:rFonts w:eastAsia="Calibri" w:cs="Times New Roman"/>
          <w:bCs/>
          <w:noProof/>
          <w:szCs w:val="24"/>
        </w:rPr>
        <w:t>). По същество Декларацията насърчава поставянето на хората в центъра на цифровата трансформация и възприемането на европейските ценности в цифровата сфера. Въпреки това, дори Европейската комисия, като автор на декларацията, подчертава нейния декларативен характер и че тя „като такава не засяга съдържанието на правните норми или тяхното прилагане“.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В шест кратки глави декларацията се фокусира върху: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ролята на човешките ценности, като правата на човека и демокрацията, в цифровото общество;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приобщаваща и солидарна рамка, обединяваща хората и осигуряваща справедлив и равен достъп за всички;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насърчаване на свободата на избор на потребителите чрез предотвратяване на дискриминация и чрез превръщане на алгоритмите и AI по-прозрачни и отговорни;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създаване на надеждно и разнообразно онлайн пространство, което позволява на всеки да участва в демократичен дебат без цензура, като същевременно спира разпространението на незаконно съдържание;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насърчаване на безопасни стандарти, които дават на потребителите власт над техните данни и защитават децата онлайн; и</w:t>
      </w:r>
    </w:p>
    <w:p w:rsidR="005121FE" w:rsidRPr="00410845" w:rsidRDefault="005121FE" w:rsidP="005121FE">
      <w:pPr>
        <w:numPr>
          <w:ilvl w:val="0"/>
          <w:numId w:val="38"/>
        </w:numPr>
        <w:spacing w:before="120" w:after="0" w:line="276" w:lineRule="auto"/>
        <w:contextualSpacing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>съобразяване със „Зелената сделка“ и гарантиране, че цифровите технологии са устойчиви и ограничени в своето въздействие върху околната среда.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eastAsia="Calibri" w:cs="Times New Roman"/>
          <w:bCs/>
          <w:noProof/>
          <w:szCs w:val="24"/>
        </w:rPr>
      </w:pPr>
      <w:r w:rsidRPr="00410845">
        <w:rPr>
          <w:rFonts w:eastAsia="Calibri" w:cs="Times New Roman"/>
          <w:bCs/>
          <w:noProof/>
          <w:szCs w:val="24"/>
        </w:rPr>
        <w:t xml:space="preserve">Трите предишни декларации на ЕС, върху които сега се основава Декларацията за цифровите права, вече бяха насочени към </w:t>
      </w:r>
      <w:r w:rsidRPr="00410845">
        <w:rPr>
          <w:rFonts w:eastAsia="Calibri" w:cs="Times New Roman"/>
          <w:b/>
          <w:bCs/>
          <w:noProof/>
          <w:szCs w:val="24"/>
        </w:rPr>
        <w:t>електронното управление</w:t>
      </w:r>
      <w:r w:rsidRPr="00410845">
        <w:rPr>
          <w:rFonts w:eastAsia="Calibri" w:cs="Times New Roman"/>
          <w:bCs/>
          <w:noProof/>
          <w:szCs w:val="24"/>
        </w:rPr>
        <w:t xml:space="preserve"> (</w:t>
      </w:r>
      <w:hyperlink r:id="rId17" w:history="1">
        <w:r w:rsidRPr="00410845">
          <w:rPr>
            <w:rFonts w:eastAsia="Calibri" w:cs="Times New Roman"/>
            <w:bCs/>
            <w:noProof/>
            <w:color w:val="0000FF"/>
            <w:szCs w:val="24"/>
            <w:u w:val="single"/>
          </w:rPr>
          <w:t>Декларация от Талин</w:t>
        </w:r>
      </w:hyperlink>
      <w:r w:rsidRPr="00410845">
        <w:rPr>
          <w:rFonts w:eastAsia="Calibri" w:cs="Times New Roman"/>
          <w:bCs/>
          <w:noProof/>
          <w:szCs w:val="24"/>
          <w:lang w:val="en-US"/>
        </w:rPr>
        <w:t>, 2017</w:t>
      </w:r>
      <w:r w:rsidRPr="00410845">
        <w:rPr>
          <w:rFonts w:eastAsia="Calibri" w:cs="Times New Roman"/>
          <w:bCs/>
          <w:noProof/>
          <w:szCs w:val="24"/>
        </w:rPr>
        <w:t xml:space="preserve">), </w:t>
      </w:r>
      <w:r w:rsidRPr="00410845">
        <w:rPr>
          <w:rFonts w:eastAsia="Calibri" w:cs="Times New Roman"/>
          <w:b/>
          <w:bCs/>
          <w:noProof/>
          <w:szCs w:val="24"/>
        </w:rPr>
        <w:t>цифровото общество</w:t>
      </w:r>
      <w:r w:rsidRPr="00410845">
        <w:rPr>
          <w:rFonts w:eastAsia="Calibri" w:cs="Times New Roman"/>
          <w:bCs/>
          <w:noProof/>
          <w:szCs w:val="24"/>
        </w:rPr>
        <w:t xml:space="preserve"> (</w:t>
      </w:r>
      <w:hyperlink r:id="rId18" w:history="1">
        <w:r w:rsidRPr="00410845">
          <w:rPr>
            <w:rFonts w:eastAsia="Calibri" w:cs="Times New Roman"/>
            <w:bCs/>
            <w:noProof/>
            <w:color w:val="0000FF"/>
            <w:szCs w:val="24"/>
            <w:u w:val="single"/>
          </w:rPr>
          <w:t>Декларация от Берлин</w:t>
        </w:r>
      </w:hyperlink>
      <w:r w:rsidRPr="00410845">
        <w:rPr>
          <w:rFonts w:eastAsia="Calibri" w:cs="Times New Roman"/>
          <w:bCs/>
          <w:noProof/>
          <w:szCs w:val="24"/>
          <w:lang w:val="en-US"/>
        </w:rPr>
        <w:t>, 2020</w:t>
      </w:r>
      <w:r w:rsidRPr="00410845">
        <w:rPr>
          <w:rFonts w:eastAsia="Calibri" w:cs="Times New Roman"/>
          <w:bCs/>
          <w:noProof/>
          <w:szCs w:val="24"/>
        </w:rPr>
        <w:t xml:space="preserve">) и </w:t>
      </w:r>
      <w:r w:rsidRPr="00410845">
        <w:rPr>
          <w:rFonts w:eastAsia="Calibri" w:cs="Times New Roman"/>
          <w:b/>
          <w:bCs/>
          <w:noProof/>
          <w:szCs w:val="24"/>
        </w:rPr>
        <w:t>цифровата демокрация</w:t>
      </w:r>
      <w:r w:rsidRPr="00410845">
        <w:rPr>
          <w:rFonts w:eastAsia="Calibri" w:cs="Times New Roman"/>
          <w:bCs/>
          <w:noProof/>
          <w:szCs w:val="24"/>
        </w:rPr>
        <w:t xml:space="preserve"> (</w:t>
      </w:r>
      <w:hyperlink r:id="rId19" w:history="1">
        <w:r w:rsidRPr="00410845">
          <w:rPr>
            <w:rFonts w:eastAsia="Calibri" w:cs="Times New Roman"/>
            <w:bCs/>
            <w:noProof/>
            <w:color w:val="0000FF"/>
            <w:szCs w:val="24"/>
            <w:u w:val="single"/>
          </w:rPr>
          <w:t>Лисабонската декларация</w:t>
        </w:r>
      </w:hyperlink>
      <w:r w:rsidRPr="00410845">
        <w:rPr>
          <w:rFonts w:eastAsia="Calibri" w:cs="Times New Roman"/>
          <w:bCs/>
          <w:noProof/>
          <w:szCs w:val="24"/>
          <w:lang w:val="en-US"/>
        </w:rPr>
        <w:t>, 2021</w:t>
      </w:r>
      <w:r w:rsidRPr="00410845">
        <w:rPr>
          <w:rFonts w:eastAsia="Calibri" w:cs="Times New Roman"/>
          <w:bCs/>
          <w:noProof/>
          <w:szCs w:val="24"/>
        </w:rPr>
        <w:t xml:space="preserve">), но новата декларация ще бъде първата, която ще се съсредоточи единствено върху </w:t>
      </w:r>
      <w:r w:rsidRPr="00410845">
        <w:rPr>
          <w:rFonts w:eastAsia="Calibri" w:cs="Times New Roman"/>
          <w:b/>
          <w:bCs/>
          <w:noProof/>
          <w:szCs w:val="24"/>
        </w:rPr>
        <w:t>основните права на гражданите на ЕС в цифровата сфера</w:t>
      </w:r>
      <w:r w:rsidRPr="00410845">
        <w:rPr>
          <w:rFonts w:eastAsia="Calibri" w:cs="Times New Roman"/>
          <w:bCs/>
          <w:noProof/>
          <w:szCs w:val="24"/>
        </w:rPr>
        <w:t>.</w:t>
      </w:r>
    </w:p>
    <w:p w:rsidR="005121FE" w:rsidRPr="00410845" w:rsidRDefault="005121FE" w:rsidP="005121FE">
      <w:pPr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  <w:r w:rsidRPr="00410845">
        <w:rPr>
          <w:rFonts w:cs="Times New Roman"/>
          <w:bCs/>
          <w:szCs w:val="24"/>
          <w:lang w:bidi="bg-BG"/>
        </w:rPr>
        <w:t>Прилагането на европейската рамка за цифрова трансформация до 2030 г. предполага актуализиране на националните стратегически и програмни документи с цифрова компонента с период на действие до 2030 г.</w:t>
      </w:r>
    </w:p>
    <w:p w:rsidR="00FC0CBD" w:rsidRPr="00410845" w:rsidRDefault="00FC0CBD" w:rsidP="0034202F">
      <w:pPr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  <w:r w:rsidRPr="00410845">
        <w:rPr>
          <w:rFonts w:cs="Times New Roman"/>
          <w:bCs/>
          <w:szCs w:val="24"/>
          <w:lang w:bidi="bg-BG"/>
        </w:rPr>
        <w:t>Основните предизвикателства пред политиката за цифрова трансформация на България са:</w:t>
      </w:r>
    </w:p>
    <w:p w:rsidR="00FC0CBD" w:rsidRPr="00410845" w:rsidRDefault="00FC0CBD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Липса на редовно правителство и Програма на правителството</w:t>
      </w:r>
    </w:p>
    <w:p w:rsidR="00FC0CBD" w:rsidRPr="00410845" w:rsidRDefault="00FC0CBD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lastRenderedPageBreak/>
        <w:t>Нужда от ясно определени институционални отговорности по определени въпроси</w:t>
      </w:r>
      <w:r w:rsidR="00C242B4" w:rsidRPr="00410845">
        <w:rPr>
          <w:rFonts w:cs="Times New Roman"/>
          <w:szCs w:val="24"/>
        </w:rPr>
        <w:t xml:space="preserve"> </w:t>
      </w:r>
      <w:r w:rsidRPr="00410845">
        <w:rPr>
          <w:rFonts w:cs="Times New Roman"/>
          <w:szCs w:val="24"/>
        </w:rPr>
        <w:t xml:space="preserve"> (изкуствен интелект, </w:t>
      </w:r>
      <w:r w:rsidR="00C242B4" w:rsidRPr="00410845">
        <w:rPr>
          <w:rFonts w:cs="Times New Roman"/>
          <w:szCs w:val="24"/>
        </w:rPr>
        <w:t xml:space="preserve">политика за данни </w:t>
      </w:r>
      <w:r w:rsidRPr="00410845">
        <w:rPr>
          <w:rFonts w:cs="Times New Roman"/>
          <w:szCs w:val="24"/>
        </w:rPr>
        <w:t xml:space="preserve">и др.) </w:t>
      </w:r>
    </w:p>
    <w:p w:rsidR="00FC0CBD" w:rsidRPr="00410845" w:rsidRDefault="00FC0CBD" w:rsidP="0034202F">
      <w:pPr>
        <w:pStyle w:val="ListParagraph"/>
        <w:numPr>
          <w:ilvl w:val="0"/>
          <w:numId w:val="43"/>
        </w:numPr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  <w:r w:rsidRPr="00410845">
        <w:rPr>
          <w:rFonts w:cs="Times New Roman"/>
          <w:bCs/>
          <w:szCs w:val="24"/>
          <w:lang w:bidi="bg-BG"/>
        </w:rPr>
        <w:t>Актуализация на националните стратегически и програмни документи в крак с технологичното развитие (напр. Националната програма за развитие България 2030)</w:t>
      </w:r>
    </w:p>
    <w:p w:rsidR="00FC0CBD" w:rsidRPr="00410845" w:rsidRDefault="00FC0CBD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Създаване на добре работещ механизъм на координация по мониторинга на показателите на индекса за навлизането на цифровите технологии в икономиката и обществото (DESI)</w:t>
      </w:r>
    </w:p>
    <w:p w:rsidR="00FC0CBD" w:rsidRPr="00410845" w:rsidRDefault="00FC0CBD" w:rsidP="0034202F">
      <w:pPr>
        <w:pStyle w:val="ListParagraph"/>
        <w:numPr>
          <w:ilvl w:val="0"/>
          <w:numId w:val="43"/>
        </w:numPr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  <w:r w:rsidRPr="00410845">
        <w:rPr>
          <w:rFonts w:cs="Times New Roman"/>
          <w:bCs/>
          <w:szCs w:val="24"/>
          <w:lang w:bidi="bg-BG"/>
        </w:rPr>
        <w:t>Разработване на общи стандарти при използването на изкуствения интелект в процеса на цифровизация с цел осигуряване на гаранции за равен достъп и зачитане на правата на човека</w:t>
      </w:r>
    </w:p>
    <w:p w:rsidR="00FC0CBD" w:rsidRPr="00410845" w:rsidRDefault="00E6293A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Управление</w:t>
      </w:r>
      <w:r w:rsidR="00FC0CBD" w:rsidRPr="00410845">
        <w:rPr>
          <w:rFonts w:cs="Times New Roman"/>
          <w:szCs w:val="24"/>
        </w:rPr>
        <w:t xml:space="preserve"> на националните интернет ресурси в полза на българските граждани</w:t>
      </w:r>
    </w:p>
    <w:p w:rsidR="006131A1" w:rsidRPr="00410845" w:rsidRDefault="006131A1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 xml:space="preserve">Създаване на ефективни публично-частни партньорства </w:t>
      </w:r>
    </w:p>
    <w:p w:rsidR="00E6293A" w:rsidRPr="00410845" w:rsidRDefault="006131A1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bCs/>
          <w:szCs w:val="24"/>
          <w:lang w:bidi="bg-BG"/>
        </w:rPr>
        <w:t>Участие в Консорциуми за европейска цифрова инфраструктура (EDICs) за  многонационални проекти в цифровата област</w:t>
      </w:r>
    </w:p>
    <w:p w:rsidR="00E6293A" w:rsidRPr="00410845" w:rsidRDefault="00E6293A" w:rsidP="0034202F">
      <w:pPr>
        <w:pStyle w:val="ListParagraph"/>
        <w:numPr>
          <w:ilvl w:val="0"/>
          <w:numId w:val="43"/>
        </w:numPr>
        <w:spacing w:before="120" w:after="0" w:line="276" w:lineRule="auto"/>
        <w:contextualSpacing w:val="0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Намиране на кадри с широкоспектърна експертиза и опит -  техническа, правна, по европейски въпроси за работа в държавната администрация.</w:t>
      </w:r>
    </w:p>
    <w:p w:rsidR="00FC0CBD" w:rsidRPr="00410845" w:rsidRDefault="00FC0CBD" w:rsidP="0034202F">
      <w:pPr>
        <w:spacing w:before="120" w:after="0" w:line="276" w:lineRule="auto"/>
        <w:jc w:val="both"/>
        <w:rPr>
          <w:rFonts w:cs="Times New Roman"/>
          <w:bCs/>
          <w:szCs w:val="24"/>
          <w:lang w:bidi="bg-BG"/>
        </w:rPr>
      </w:pPr>
    </w:p>
    <w:p w:rsidR="001447EB" w:rsidRPr="00410845" w:rsidRDefault="001447EB" w:rsidP="00406A94">
      <w:pPr>
        <w:pStyle w:val="Heading1"/>
        <w:numPr>
          <w:ilvl w:val="0"/>
          <w:numId w:val="26"/>
        </w:numPr>
        <w:spacing w:before="120" w:line="276" w:lineRule="auto"/>
        <w:rPr>
          <w:rFonts w:cs="Times New Roman"/>
          <w:szCs w:val="24"/>
        </w:rPr>
      </w:pPr>
      <w:bookmarkStart w:id="17" w:name="_Toc92275731"/>
      <w:bookmarkStart w:id="18" w:name="_Toc124780671"/>
      <w:r w:rsidRPr="00410845">
        <w:rPr>
          <w:rFonts w:cs="Times New Roman"/>
          <w:szCs w:val="24"/>
        </w:rPr>
        <w:t>Приложения</w:t>
      </w:r>
      <w:bookmarkEnd w:id="17"/>
      <w:bookmarkEnd w:id="18"/>
      <w:r w:rsidRPr="00410845">
        <w:rPr>
          <w:rFonts w:cs="Times New Roman"/>
          <w:szCs w:val="24"/>
        </w:rPr>
        <w:t xml:space="preserve">  </w:t>
      </w:r>
    </w:p>
    <w:p w:rsidR="001447EB" w:rsidRPr="00410845" w:rsidRDefault="001447EB" w:rsidP="0034202F">
      <w:pPr>
        <w:pStyle w:val="ListParagraph"/>
        <w:numPr>
          <w:ilvl w:val="0"/>
          <w:numId w:val="16"/>
        </w:numPr>
        <w:spacing w:before="120" w:after="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Пр</w:t>
      </w:r>
      <w:r w:rsidR="00C800AF" w:rsidRPr="00410845">
        <w:rPr>
          <w:rFonts w:cs="Times New Roman"/>
          <w:szCs w:val="24"/>
        </w:rPr>
        <w:t>иложение 1</w:t>
      </w:r>
      <w:r w:rsidRPr="00410845">
        <w:rPr>
          <w:rFonts w:cs="Times New Roman"/>
          <w:szCs w:val="24"/>
        </w:rPr>
        <w:t>: Данни на НСИ за 2022 г.</w:t>
      </w:r>
    </w:p>
    <w:p w:rsidR="001447EB" w:rsidRPr="00410845" w:rsidRDefault="00C800AF" w:rsidP="0034202F">
      <w:pPr>
        <w:pStyle w:val="ListParagraph"/>
        <w:numPr>
          <w:ilvl w:val="0"/>
          <w:numId w:val="16"/>
        </w:numPr>
        <w:spacing w:before="120" w:after="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Приложение 2</w:t>
      </w:r>
      <w:r w:rsidR="001447EB" w:rsidRPr="00410845">
        <w:rPr>
          <w:rFonts w:cs="Times New Roman"/>
          <w:szCs w:val="24"/>
        </w:rPr>
        <w:t>: Екосистемата на изкуствения интелект в България</w:t>
      </w:r>
    </w:p>
    <w:p w:rsidR="001447EB" w:rsidRPr="00410845" w:rsidRDefault="00C800AF" w:rsidP="0034202F">
      <w:pPr>
        <w:pStyle w:val="ListParagraph"/>
        <w:numPr>
          <w:ilvl w:val="0"/>
          <w:numId w:val="16"/>
        </w:numPr>
        <w:spacing w:before="120" w:after="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Приложение 3</w:t>
      </w:r>
      <w:r w:rsidR="001447EB" w:rsidRPr="00410845">
        <w:rPr>
          <w:rFonts w:cs="Times New Roman"/>
          <w:szCs w:val="24"/>
        </w:rPr>
        <w:t>: Иновации в България 2022</w:t>
      </w:r>
    </w:p>
    <w:p w:rsidR="00FA3FA1" w:rsidRPr="00410845" w:rsidRDefault="00C800AF" w:rsidP="0034202F">
      <w:pPr>
        <w:pStyle w:val="ListParagraph"/>
        <w:numPr>
          <w:ilvl w:val="0"/>
          <w:numId w:val="16"/>
        </w:numPr>
        <w:spacing w:before="120" w:after="0" w:line="276" w:lineRule="auto"/>
        <w:jc w:val="both"/>
        <w:rPr>
          <w:rFonts w:cs="Times New Roman"/>
          <w:szCs w:val="24"/>
        </w:rPr>
      </w:pPr>
      <w:r w:rsidRPr="00410845">
        <w:rPr>
          <w:rFonts w:cs="Times New Roman"/>
          <w:szCs w:val="24"/>
        </w:rPr>
        <w:t>Приложение 4</w:t>
      </w:r>
      <w:r w:rsidR="00FA3FA1" w:rsidRPr="00410845">
        <w:rPr>
          <w:rFonts w:cs="Times New Roman"/>
          <w:szCs w:val="24"/>
          <w:lang w:val="en-US"/>
        </w:rPr>
        <w:t xml:space="preserve">: </w:t>
      </w:r>
      <w:r w:rsidR="00FA3FA1" w:rsidRPr="00410845">
        <w:rPr>
          <w:rFonts w:cs="Times New Roman"/>
          <w:szCs w:val="24"/>
        </w:rPr>
        <w:t>БАСКОМ барометър 2022</w:t>
      </w:r>
    </w:p>
    <w:p w:rsidR="005C6126" w:rsidRPr="00410845" w:rsidRDefault="005C6126" w:rsidP="0034202F">
      <w:pPr>
        <w:spacing w:before="120" w:after="0" w:line="276" w:lineRule="auto"/>
        <w:jc w:val="both"/>
        <w:rPr>
          <w:rFonts w:cs="Times New Roman"/>
          <w:szCs w:val="24"/>
        </w:rPr>
      </w:pPr>
    </w:p>
    <w:sectPr w:rsidR="005C6126" w:rsidRPr="00410845" w:rsidSect="00D63ACB">
      <w:footerReference w:type="default" r:id="rId20"/>
      <w:pgSz w:w="11906" w:h="16838"/>
      <w:pgMar w:top="1417" w:right="1196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BA" w:rsidRDefault="00751ABA" w:rsidP="00E60B31">
      <w:pPr>
        <w:spacing w:after="0" w:line="240" w:lineRule="auto"/>
      </w:pPr>
      <w:r>
        <w:separator/>
      </w:r>
    </w:p>
  </w:endnote>
  <w:endnote w:type="continuationSeparator" w:id="0">
    <w:p w:rsidR="00751ABA" w:rsidRDefault="00751ABA" w:rsidP="00E6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128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091" w:rsidRDefault="00336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5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36091" w:rsidRDefault="00336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BA" w:rsidRDefault="00751ABA" w:rsidP="00E60B31">
      <w:pPr>
        <w:spacing w:after="0" w:line="240" w:lineRule="auto"/>
      </w:pPr>
      <w:r>
        <w:separator/>
      </w:r>
    </w:p>
  </w:footnote>
  <w:footnote w:type="continuationSeparator" w:id="0">
    <w:p w:rsidR="00751ABA" w:rsidRDefault="00751ABA" w:rsidP="00E6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8CB"/>
    <w:multiLevelType w:val="hybridMultilevel"/>
    <w:tmpl w:val="13E49190"/>
    <w:lvl w:ilvl="0" w:tplc="BF304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B8A"/>
    <w:multiLevelType w:val="hybridMultilevel"/>
    <w:tmpl w:val="D3ECA6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F07CD"/>
    <w:multiLevelType w:val="hybridMultilevel"/>
    <w:tmpl w:val="027C90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F6D0F"/>
    <w:multiLevelType w:val="hybridMultilevel"/>
    <w:tmpl w:val="3A344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A7872"/>
    <w:multiLevelType w:val="hybridMultilevel"/>
    <w:tmpl w:val="D6AC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BFD"/>
    <w:multiLevelType w:val="hybridMultilevel"/>
    <w:tmpl w:val="12CA1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137783"/>
    <w:multiLevelType w:val="multilevel"/>
    <w:tmpl w:val="65EA4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8047F"/>
    <w:multiLevelType w:val="hybridMultilevel"/>
    <w:tmpl w:val="59AEF3AE"/>
    <w:lvl w:ilvl="0" w:tplc="BF304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901B7"/>
    <w:multiLevelType w:val="hybridMultilevel"/>
    <w:tmpl w:val="6A800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0AF"/>
    <w:multiLevelType w:val="hybridMultilevel"/>
    <w:tmpl w:val="E2B020B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976DD"/>
    <w:multiLevelType w:val="hybridMultilevel"/>
    <w:tmpl w:val="20F25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2926"/>
    <w:multiLevelType w:val="hybridMultilevel"/>
    <w:tmpl w:val="B1B03D5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F49A8"/>
    <w:multiLevelType w:val="hybridMultilevel"/>
    <w:tmpl w:val="3ECA18B6"/>
    <w:lvl w:ilvl="0" w:tplc="A6A454BA">
      <w:start w:val="6"/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D2D7D"/>
    <w:multiLevelType w:val="hybridMultilevel"/>
    <w:tmpl w:val="B880B9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95E65"/>
    <w:multiLevelType w:val="hybridMultilevel"/>
    <w:tmpl w:val="9AE84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E70AE8"/>
    <w:multiLevelType w:val="hybridMultilevel"/>
    <w:tmpl w:val="3F5C15AE"/>
    <w:lvl w:ilvl="0" w:tplc="6E74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03E"/>
    <w:multiLevelType w:val="hybridMultilevel"/>
    <w:tmpl w:val="17903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620CA"/>
    <w:multiLevelType w:val="hybridMultilevel"/>
    <w:tmpl w:val="46D8527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D8F2F4E"/>
    <w:multiLevelType w:val="hybridMultilevel"/>
    <w:tmpl w:val="0E3C4ECC"/>
    <w:lvl w:ilvl="0" w:tplc="50A43BFE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D3025"/>
    <w:multiLevelType w:val="hybridMultilevel"/>
    <w:tmpl w:val="550C4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753BE"/>
    <w:multiLevelType w:val="hybridMultilevel"/>
    <w:tmpl w:val="D8747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A2823"/>
    <w:multiLevelType w:val="hybridMultilevel"/>
    <w:tmpl w:val="03948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12A7"/>
    <w:multiLevelType w:val="hybridMultilevel"/>
    <w:tmpl w:val="AA343A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957D2"/>
    <w:multiLevelType w:val="hybridMultilevel"/>
    <w:tmpl w:val="DB4A47D4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9C75721"/>
    <w:multiLevelType w:val="hybridMultilevel"/>
    <w:tmpl w:val="63C8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75B4C"/>
    <w:multiLevelType w:val="hybridMultilevel"/>
    <w:tmpl w:val="4FC81C36"/>
    <w:lvl w:ilvl="0" w:tplc="F8DCC7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63D56"/>
    <w:multiLevelType w:val="hybridMultilevel"/>
    <w:tmpl w:val="92BA8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34D2F"/>
    <w:multiLevelType w:val="hybridMultilevel"/>
    <w:tmpl w:val="8D02F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F642B"/>
    <w:multiLevelType w:val="hybridMultilevel"/>
    <w:tmpl w:val="45BA4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486572"/>
    <w:multiLevelType w:val="hybridMultilevel"/>
    <w:tmpl w:val="110EAF6E"/>
    <w:lvl w:ilvl="0" w:tplc="BF30494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CF2CA6"/>
    <w:multiLevelType w:val="hybridMultilevel"/>
    <w:tmpl w:val="49FA5F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A109D"/>
    <w:multiLevelType w:val="hybridMultilevel"/>
    <w:tmpl w:val="F16EA256"/>
    <w:lvl w:ilvl="0" w:tplc="BF3049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A44ECB"/>
    <w:multiLevelType w:val="hybridMultilevel"/>
    <w:tmpl w:val="139A3D98"/>
    <w:lvl w:ilvl="0" w:tplc="BF3049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A3A64"/>
    <w:multiLevelType w:val="hybridMultilevel"/>
    <w:tmpl w:val="4F028494"/>
    <w:lvl w:ilvl="0" w:tplc="096E109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352C5"/>
    <w:multiLevelType w:val="hybridMultilevel"/>
    <w:tmpl w:val="2F0435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05D7D"/>
    <w:multiLevelType w:val="hybridMultilevel"/>
    <w:tmpl w:val="ABE85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725CA"/>
    <w:multiLevelType w:val="multilevel"/>
    <w:tmpl w:val="FDF07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6A6369"/>
    <w:multiLevelType w:val="hybridMultilevel"/>
    <w:tmpl w:val="71567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E6422"/>
    <w:multiLevelType w:val="hybridMultilevel"/>
    <w:tmpl w:val="6C488436"/>
    <w:lvl w:ilvl="0" w:tplc="9FD8C6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4E46DE"/>
    <w:multiLevelType w:val="hybridMultilevel"/>
    <w:tmpl w:val="BC581AB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0A09"/>
    <w:multiLevelType w:val="hybridMultilevel"/>
    <w:tmpl w:val="724C2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32D5C"/>
    <w:multiLevelType w:val="hybridMultilevel"/>
    <w:tmpl w:val="98BE1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E83728F"/>
    <w:multiLevelType w:val="hybridMultilevel"/>
    <w:tmpl w:val="2CC2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34D3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28A"/>
    <w:multiLevelType w:val="hybridMultilevel"/>
    <w:tmpl w:val="381870C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312F8"/>
    <w:multiLevelType w:val="hybridMultilevel"/>
    <w:tmpl w:val="A4500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E07AD"/>
    <w:multiLevelType w:val="hybridMultilevel"/>
    <w:tmpl w:val="74E862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4C0FDD"/>
    <w:multiLevelType w:val="hybridMultilevel"/>
    <w:tmpl w:val="B5A88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84CB7"/>
    <w:multiLevelType w:val="hybridMultilevel"/>
    <w:tmpl w:val="7E2A7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28"/>
  </w:num>
  <w:num w:numId="4">
    <w:abstractNumId w:val="37"/>
  </w:num>
  <w:num w:numId="5">
    <w:abstractNumId w:val="39"/>
  </w:num>
  <w:num w:numId="6">
    <w:abstractNumId w:val="44"/>
  </w:num>
  <w:num w:numId="7">
    <w:abstractNumId w:val="25"/>
  </w:num>
  <w:num w:numId="8">
    <w:abstractNumId w:val="8"/>
  </w:num>
  <w:num w:numId="9">
    <w:abstractNumId w:val="5"/>
  </w:num>
  <w:num w:numId="10">
    <w:abstractNumId w:val="46"/>
  </w:num>
  <w:num w:numId="11">
    <w:abstractNumId w:val="41"/>
  </w:num>
  <w:num w:numId="12">
    <w:abstractNumId w:val="13"/>
  </w:num>
  <w:num w:numId="13">
    <w:abstractNumId w:val="15"/>
  </w:num>
  <w:num w:numId="14">
    <w:abstractNumId w:val="3"/>
  </w:num>
  <w:num w:numId="15">
    <w:abstractNumId w:val="29"/>
  </w:num>
  <w:num w:numId="16">
    <w:abstractNumId w:val="0"/>
  </w:num>
  <w:num w:numId="17">
    <w:abstractNumId w:val="31"/>
  </w:num>
  <w:num w:numId="18">
    <w:abstractNumId w:val="26"/>
  </w:num>
  <w:num w:numId="19">
    <w:abstractNumId w:val="27"/>
  </w:num>
  <w:num w:numId="20">
    <w:abstractNumId w:val="40"/>
  </w:num>
  <w:num w:numId="21">
    <w:abstractNumId w:val="43"/>
  </w:num>
  <w:num w:numId="22">
    <w:abstractNumId w:val="7"/>
  </w:num>
  <w:num w:numId="23">
    <w:abstractNumId w:val="12"/>
  </w:num>
  <w:num w:numId="24">
    <w:abstractNumId w:val="47"/>
  </w:num>
  <w:num w:numId="25">
    <w:abstractNumId w:val="14"/>
  </w:num>
  <w:num w:numId="26">
    <w:abstractNumId w:val="4"/>
  </w:num>
  <w:num w:numId="27">
    <w:abstractNumId w:val="17"/>
  </w:num>
  <w:num w:numId="28">
    <w:abstractNumId w:val="9"/>
  </w:num>
  <w:num w:numId="29">
    <w:abstractNumId w:val="2"/>
  </w:num>
  <w:num w:numId="30">
    <w:abstractNumId w:val="20"/>
  </w:num>
  <w:num w:numId="31">
    <w:abstractNumId w:val="34"/>
  </w:num>
  <w:num w:numId="32">
    <w:abstractNumId w:val="6"/>
  </w:num>
  <w:num w:numId="33">
    <w:abstractNumId w:val="36"/>
  </w:num>
  <w:num w:numId="34">
    <w:abstractNumId w:val="23"/>
  </w:num>
  <w:num w:numId="35">
    <w:abstractNumId w:val="18"/>
  </w:num>
  <w:num w:numId="36">
    <w:abstractNumId w:val="19"/>
  </w:num>
  <w:num w:numId="37">
    <w:abstractNumId w:val="16"/>
  </w:num>
  <w:num w:numId="38">
    <w:abstractNumId w:val="33"/>
  </w:num>
  <w:num w:numId="39">
    <w:abstractNumId w:val="32"/>
  </w:num>
  <w:num w:numId="40">
    <w:abstractNumId w:val="22"/>
  </w:num>
  <w:num w:numId="41">
    <w:abstractNumId w:val="42"/>
  </w:num>
  <w:num w:numId="42">
    <w:abstractNumId w:val="24"/>
  </w:num>
  <w:num w:numId="43">
    <w:abstractNumId w:val="38"/>
  </w:num>
  <w:num w:numId="44">
    <w:abstractNumId w:val="21"/>
  </w:num>
  <w:num w:numId="45">
    <w:abstractNumId w:val="30"/>
  </w:num>
  <w:num w:numId="46">
    <w:abstractNumId w:val="45"/>
  </w:num>
  <w:num w:numId="47">
    <w:abstractNumId w:val="1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B"/>
    <w:rsid w:val="00035A50"/>
    <w:rsid w:val="00037097"/>
    <w:rsid w:val="00046BC9"/>
    <w:rsid w:val="00047667"/>
    <w:rsid w:val="00047C2E"/>
    <w:rsid w:val="00063097"/>
    <w:rsid w:val="0006360A"/>
    <w:rsid w:val="00071C0A"/>
    <w:rsid w:val="00080801"/>
    <w:rsid w:val="000871E9"/>
    <w:rsid w:val="000B3E72"/>
    <w:rsid w:val="000B5B98"/>
    <w:rsid w:val="000C5796"/>
    <w:rsid w:val="000D226B"/>
    <w:rsid w:val="000F0E7F"/>
    <w:rsid w:val="000F28AE"/>
    <w:rsid w:val="00100874"/>
    <w:rsid w:val="00127AEB"/>
    <w:rsid w:val="001447EB"/>
    <w:rsid w:val="00150387"/>
    <w:rsid w:val="00151149"/>
    <w:rsid w:val="0017095B"/>
    <w:rsid w:val="00173EE1"/>
    <w:rsid w:val="00182517"/>
    <w:rsid w:val="00184F80"/>
    <w:rsid w:val="00194213"/>
    <w:rsid w:val="001D2551"/>
    <w:rsid w:val="001D3F6B"/>
    <w:rsid w:val="001E0142"/>
    <w:rsid w:val="001E618D"/>
    <w:rsid w:val="00211853"/>
    <w:rsid w:val="00224FD0"/>
    <w:rsid w:val="00225A43"/>
    <w:rsid w:val="00230295"/>
    <w:rsid w:val="00233F01"/>
    <w:rsid w:val="00237E63"/>
    <w:rsid w:val="00242CE6"/>
    <w:rsid w:val="0025183E"/>
    <w:rsid w:val="00261FEE"/>
    <w:rsid w:val="00262F35"/>
    <w:rsid w:val="00275720"/>
    <w:rsid w:val="002815BB"/>
    <w:rsid w:val="00281FFB"/>
    <w:rsid w:val="002867D3"/>
    <w:rsid w:val="002E0934"/>
    <w:rsid w:val="002F24D2"/>
    <w:rsid w:val="00300E91"/>
    <w:rsid w:val="00317276"/>
    <w:rsid w:val="00322983"/>
    <w:rsid w:val="00335756"/>
    <w:rsid w:val="00336091"/>
    <w:rsid w:val="0034202F"/>
    <w:rsid w:val="00362380"/>
    <w:rsid w:val="00373001"/>
    <w:rsid w:val="00373243"/>
    <w:rsid w:val="00380F8B"/>
    <w:rsid w:val="00391608"/>
    <w:rsid w:val="00395CD5"/>
    <w:rsid w:val="00397DE9"/>
    <w:rsid w:val="003A2C53"/>
    <w:rsid w:val="003A5811"/>
    <w:rsid w:val="003B65BE"/>
    <w:rsid w:val="003D0F4F"/>
    <w:rsid w:val="003E4553"/>
    <w:rsid w:val="003F444F"/>
    <w:rsid w:val="00406A94"/>
    <w:rsid w:val="00410845"/>
    <w:rsid w:val="0041504B"/>
    <w:rsid w:val="00420B99"/>
    <w:rsid w:val="00423FCB"/>
    <w:rsid w:val="00430635"/>
    <w:rsid w:val="00444CC0"/>
    <w:rsid w:val="004454C7"/>
    <w:rsid w:val="00452555"/>
    <w:rsid w:val="004710BC"/>
    <w:rsid w:val="00471C1E"/>
    <w:rsid w:val="004870A0"/>
    <w:rsid w:val="004A2778"/>
    <w:rsid w:val="004B480E"/>
    <w:rsid w:val="004D25C2"/>
    <w:rsid w:val="004E13F0"/>
    <w:rsid w:val="004E2765"/>
    <w:rsid w:val="004F4508"/>
    <w:rsid w:val="00510A7A"/>
    <w:rsid w:val="005121FE"/>
    <w:rsid w:val="00512511"/>
    <w:rsid w:val="00513503"/>
    <w:rsid w:val="00517C65"/>
    <w:rsid w:val="00523F74"/>
    <w:rsid w:val="00524F2B"/>
    <w:rsid w:val="005319A3"/>
    <w:rsid w:val="00534823"/>
    <w:rsid w:val="0053497E"/>
    <w:rsid w:val="005372D0"/>
    <w:rsid w:val="00541048"/>
    <w:rsid w:val="00541840"/>
    <w:rsid w:val="005426F3"/>
    <w:rsid w:val="00553A1B"/>
    <w:rsid w:val="00555DF4"/>
    <w:rsid w:val="005743FA"/>
    <w:rsid w:val="0059153C"/>
    <w:rsid w:val="005C479E"/>
    <w:rsid w:val="005C6126"/>
    <w:rsid w:val="005C692A"/>
    <w:rsid w:val="005E42A9"/>
    <w:rsid w:val="005F024F"/>
    <w:rsid w:val="005F5296"/>
    <w:rsid w:val="005F5E5B"/>
    <w:rsid w:val="00601943"/>
    <w:rsid w:val="00606C64"/>
    <w:rsid w:val="006131A1"/>
    <w:rsid w:val="00631A31"/>
    <w:rsid w:val="0063319C"/>
    <w:rsid w:val="00634886"/>
    <w:rsid w:val="0064099E"/>
    <w:rsid w:val="00666CA3"/>
    <w:rsid w:val="006765DD"/>
    <w:rsid w:val="006A01ED"/>
    <w:rsid w:val="006A14A4"/>
    <w:rsid w:val="006A4174"/>
    <w:rsid w:val="006B63D4"/>
    <w:rsid w:val="006C5720"/>
    <w:rsid w:val="006C5FB2"/>
    <w:rsid w:val="006D43DF"/>
    <w:rsid w:val="006E0DA3"/>
    <w:rsid w:val="00703589"/>
    <w:rsid w:val="0071251C"/>
    <w:rsid w:val="007160AD"/>
    <w:rsid w:val="00722C9D"/>
    <w:rsid w:val="00727064"/>
    <w:rsid w:val="007331DA"/>
    <w:rsid w:val="007472EF"/>
    <w:rsid w:val="0075043E"/>
    <w:rsid w:val="00751ABA"/>
    <w:rsid w:val="007531E2"/>
    <w:rsid w:val="00780494"/>
    <w:rsid w:val="007A34C5"/>
    <w:rsid w:val="007A4C36"/>
    <w:rsid w:val="007C1CA8"/>
    <w:rsid w:val="007C1E62"/>
    <w:rsid w:val="007F1CD2"/>
    <w:rsid w:val="00803B96"/>
    <w:rsid w:val="00812E96"/>
    <w:rsid w:val="00814C5A"/>
    <w:rsid w:val="00820DC3"/>
    <w:rsid w:val="00830D21"/>
    <w:rsid w:val="008654AE"/>
    <w:rsid w:val="00866DEB"/>
    <w:rsid w:val="0086791C"/>
    <w:rsid w:val="00882D23"/>
    <w:rsid w:val="00883B34"/>
    <w:rsid w:val="0089076B"/>
    <w:rsid w:val="00891572"/>
    <w:rsid w:val="008A7DEF"/>
    <w:rsid w:val="008C1CEA"/>
    <w:rsid w:val="008D2417"/>
    <w:rsid w:val="008E3FC8"/>
    <w:rsid w:val="008F1376"/>
    <w:rsid w:val="008F35D1"/>
    <w:rsid w:val="009004B9"/>
    <w:rsid w:val="0091390A"/>
    <w:rsid w:val="00915398"/>
    <w:rsid w:val="00925130"/>
    <w:rsid w:val="00926033"/>
    <w:rsid w:val="009369ED"/>
    <w:rsid w:val="00942E15"/>
    <w:rsid w:val="00944672"/>
    <w:rsid w:val="00953D7B"/>
    <w:rsid w:val="00970DCF"/>
    <w:rsid w:val="00972728"/>
    <w:rsid w:val="00981343"/>
    <w:rsid w:val="009B2A23"/>
    <w:rsid w:val="009C4F18"/>
    <w:rsid w:val="009D316C"/>
    <w:rsid w:val="00A011D7"/>
    <w:rsid w:val="00A032C4"/>
    <w:rsid w:val="00A07764"/>
    <w:rsid w:val="00A1409C"/>
    <w:rsid w:val="00A14EA4"/>
    <w:rsid w:val="00A309E2"/>
    <w:rsid w:val="00A31214"/>
    <w:rsid w:val="00A3354E"/>
    <w:rsid w:val="00A33A45"/>
    <w:rsid w:val="00A44B02"/>
    <w:rsid w:val="00A6046D"/>
    <w:rsid w:val="00A64258"/>
    <w:rsid w:val="00A92700"/>
    <w:rsid w:val="00AC1B6D"/>
    <w:rsid w:val="00AD4A64"/>
    <w:rsid w:val="00AE1156"/>
    <w:rsid w:val="00AE483D"/>
    <w:rsid w:val="00AF4E39"/>
    <w:rsid w:val="00AF76DA"/>
    <w:rsid w:val="00B03A4C"/>
    <w:rsid w:val="00B110F3"/>
    <w:rsid w:val="00B211D5"/>
    <w:rsid w:val="00B24792"/>
    <w:rsid w:val="00B34368"/>
    <w:rsid w:val="00B36081"/>
    <w:rsid w:val="00B36C79"/>
    <w:rsid w:val="00B528D8"/>
    <w:rsid w:val="00B53A35"/>
    <w:rsid w:val="00B5478C"/>
    <w:rsid w:val="00B740AF"/>
    <w:rsid w:val="00B87191"/>
    <w:rsid w:val="00B925B3"/>
    <w:rsid w:val="00B93515"/>
    <w:rsid w:val="00BB0972"/>
    <w:rsid w:val="00BB2AAD"/>
    <w:rsid w:val="00BD3D98"/>
    <w:rsid w:val="00BE547E"/>
    <w:rsid w:val="00C0186E"/>
    <w:rsid w:val="00C07DC6"/>
    <w:rsid w:val="00C1164B"/>
    <w:rsid w:val="00C16FD7"/>
    <w:rsid w:val="00C22CC6"/>
    <w:rsid w:val="00C242B4"/>
    <w:rsid w:val="00C26FCF"/>
    <w:rsid w:val="00C473EE"/>
    <w:rsid w:val="00C65F10"/>
    <w:rsid w:val="00C6736C"/>
    <w:rsid w:val="00C70461"/>
    <w:rsid w:val="00C800AF"/>
    <w:rsid w:val="00C8015C"/>
    <w:rsid w:val="00C84953"/>
    <w:rsid w:val="00C85F25"/>
    <w:rsid w:val="00CA39EC"/>
    <w:rsid w:val="00CB642C"/>
    <w:rsid w:val="00CB788A"/>
    <w:rsid w:val="00CE432B"/>
    <w:rsid w:val="00D03946"/>
    <w:rsid w:val="00D03B7B"/>
    <w:rsid w:val="00D074DE"/>
    <w:rsid w:val="00D11F9F"/>
    <w:rsid w:val="00D148E0"/>
    <w:rsid w:val="00D339A7"/>
    <w:rsid w:val="00D45501"/>
    <w:rsid w:val="00D455FF"/>
    <w:rsid w:val="00D504DA"/>
    <w:rsid w:val="00D52358"/>
    <w:rsid w:val="00D61D9E"/>
    <w:rsid w:val="00D63ACB"/>
    <w:rsid w:val="00D63FED"/>
    <w:rsid w:val="00D75539"/>
    <w:rsid w:val="00D76405"/>
    <w:rsid w:val="00D8644F"/>
    <w:rsid w:val="00D97E56"/>
    <w:rsid w:val="00DA20E0"/>
    <w:rsid w:val="00DA4935"/>
    <w:rsid w:val="00DB5F17"/>
    <w:rsid w:val="00DB6F4D"/>
    <w:rsid w:val="00DC5483"/>
    <w:rsid w:val="00DC60E3"/>
    <w:rsid w:val="00DC688C"/>
    <w:rsid w:val="00DE69BC"/>
    <w:rsid w:val="00DF0069"/>
    <w:rsid w:val="00E11F8A"/>
    <w:rsid w:val="00E12528"/>
    <w:rsid w:val="00E210B3"/>
    <w:rsid w:val="00E2250B"/>
    <w:rsid w:val="00E23F89"/>
    <w:rsid w:val="00E2431F"/>
    <w:rsid w:val="00E4164E"/>
    <w:rsid w:val="00E43D0A"/>
    <w:rsid w:val="00E44D3D"/>
    <w:rsid w:val="00E45C48"/>
    <w:rsid w:val="00E60B31"/>
    <w:rsid w:val="00E62480"/>
    <w:rsid w:val="00E6293A"/>
    <w:rsid w:val="00E660B9"/>
    <w:rsid w:val="00E72657"/>
    <w:rsid w:val="00E86143"/>
    <w:rsid w:val="00E923BC"/>
    <w:rsid w:val="00EA767C"/>
    <w:rsid w:val="00EE303E"/>
    <w:rsid w:val="00F03145"/>
    <w:rsid w:val="00F36374"/>
    <w:rsid w:val="00F4183A"/>
    <w:rsid w:val="00F41A40"/>
    <w:rsid w:val="00F54397"/>
    <w:rsid w:val="00F715FA"/>
    <w:rsid w:val="00F850D1"/>
    <w:rsid w:val="00FA163C"/>
    <w:rsid w:val="00FA3B94"/>
    <w:rsid w:val="00FA3FA1"/>
    <w:rsid w:val="00FB072C"/>
    <w:rsid w:val="00FB0CF8"/>
    <w:rsid w:val="00FB3787"/>
    <w:rsid w:val="00FB7A72"/>
    <w:rsid w:val="00FC0CBD"/>
    <w:rsid w:val="00FD64A3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D333E-C212-4E60-8BEB-FB284E7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E6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2B"/>
    <w:rPr>
      <w:color w:val="0563C1" w:themeColor="hyperlink"/>
      <w:u w:val="single"/>
    </w:rPr>
  </w:style>
  <w:style w:type="paragraph" w:customStyle="1" w:styleId="1">
    <w:name w:val="Нормален1"/>
    <w:rsid w:val="007A34C5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10">
    <w:name w:val="Шрифт на абзаца по подразбиране1"/>
    <w:rsid w:val="007A34C5"/>
  </w:style>
  <w:style w:type="paragraph" w:styleId="Header">
    <w:name w:val="header"/>
    <w:basedOn w:val="Normal"/>
    <w:link w:val="HeaderChar"/>
    <w:uiPriority w:val="99"/>
    <w:unhideWhenUsed/>
    <w:rsid w:val="00E6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3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6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3,ПАРАГРАФ,Bullet line"/>
    <w:basedOn w:val="Normal"/>
    <w:link w:val="ListParagraphChar"/>
    <w:uiPriority w:val="34"/>
    <w:qFormat/>
    <w:rsid w:val="000808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B78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54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1E6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0D2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076B"/>
    <w:pPr>
      <w:tabs>
        <w:tab w:val="left" w:pos="440"/>
        <w:tab w:val="right" w:leader="dot" w:pos="906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0D2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6C5FB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9A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39A7"/>
    <w:rPr>
      <w:rFonts w:eastAsiaTheme="minorEastAsia"/>
      <w:color w:val="5A5A5A" w:themeColor="text1" w:themeTint="A5"/>
      <w:spacing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90A"/>
    <w:pPr>
      <w:spacing w:after="0" w:line="240" w:lineRule="auto"/>
    </w:pPr>
    <w:rPr>
      <w:rFonts w:eastAsia="Times New Roman" w:cs="Times New Roman"/>
      <w:sz w:val="20"/>
      <w:szCs w:val="24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90A"/>
    <w:rPr>
      <w:rFonts w:ascii="Times New Roman" w:eastAsia="Times New Roman" w:hAnsi="Times New Roman" w:cs="Times New Roman"/>
      <w:sz w:val="20"/>
      <w:szCs w:val="24"/>
      <w:lang w:eastAsia="bg-BG"/>
    </w:rPr>
  </w:style>
  <w:style w:type="character" w:styleId="FootnoteReference">
    <w:name w:val="footnote reference"/>
    <w:semiHidden/>
    <w:unhideWhenUsed/>
    <w:rsid w:val="0091390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A4174"/>
    <w:pPr>
      <w:spacing w:after="0" w:line="240" w:lineRule="auto"/>
    </w:pPr>
    <w:rPr>
      <w:rFonts w:cs="Times New Roman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Bullet 3 Char,ПАРАГРАФ Char,Bullet line Char"/>
    <w:link w:val="ListParagraph"/>
    <w:uiPriority w:val="34"/>
    <w:locked/>
    <w:rsid w:val="00FC0C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9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44343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7242981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53367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066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493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165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38619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7442590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267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866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20415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320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5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6397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5821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673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9981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48780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259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93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63352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  <w:div w:id="194779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682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658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015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  <w:div w:id="1066688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188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  <w:div w:id="16576846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8173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8149119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061947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45800686">
              <w:marLeft w:val="225"/>
              <w:marRight w:val="225"/>
              <w:marTop w:val="225"/>
              <w:marBottom w:val="225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85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ec.europa.eu/commission/presscorner/detail/bg/IP_21_983" TargetMode="External"/><Relationship Id="rId18" Type="http://schemas.openxmlformats.org/officeDocument/2006/relationships/hyperlink" Target="https://ec.europa.eu/isa2/sites/isa/files/cdr_20201207_eu2020_berlin_declaration_on_digital_society_and_value-based_digital_government_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bg/TXT/?uri=CELEX:52021DC0118" TargetMode="External"/><Relationship Id="rId17" Type="http://schemas.openxmlformats.org/officeDocument/2006/relationships/hyperlink" Target="http://ec.europa.eu/newsroom/document.cfm?doc_id=475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CELEX%3A52021PC057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-agenda-data.eu/charts/analyse-one-indicator-and-compare-breakdow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uri=COM%3A2022%3A28%3AFIN&amp;qid=1643297725980" TargetMode="External"/><Relationship Id="rId10" Type="http://schemas.openxmlformats.org/officeDocument/2006/relationships/hyperlink" Target="https://digital-strategy.ec.europa.eu/en/policies/desi-bulgaria" TargetMode="External"/><Relationship Id="rId19" Type="http://schemas.openxmlformats.org/officeDocument/2006/relationships/hyperlink" Target="https://www.lisbondeclarat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i.bg/sites/default/files/files/pressreleases/Census2021_predvaritelna_ocenka.pdf" TargetMode="External"/><Relationship Id="rId14" Type="http://schemas.openxmlformats.org/officeDocument/2006/relationships/hyperlink" Target="https://ec.europa.eu/commission/presscorner/detail/bg/ip_22_452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Изпълнение на мерките от Пътната кърта към Национална програма "Цифрова България 2025"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Общо мерки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E4-4E0C-8BBE-F3C6EA1F1C6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Изпълнени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Sheet1!$B$3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E4-4E0C-8BBE-F3C6EA1F1C6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процес на изпълнение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Sheet1!$B$4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E4-4E0C-8BBE-F3C6EA1F1C6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Удължени срокове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E4-4E0C-8BBE-F3C6EA1F1C6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Отпаднали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Sheet1!$B$6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E4-4E0C-8BBE-F3C6EA1F1C66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Нови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E4-4E0C-8BBE-F3C6EA1F1C66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 постоянен срок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E4-4E0C-8BBE-F3C6EA1F1C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5141648"/>
        <c:axId val="375140864"/>
      </c:barChart>
      <c:catAx>
        <c:axId val="375141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5140864"/>
        <c:crosses val="autoZero"/>
        <c:auto val="0"/>
        <c:lblAlgn val="ctr"/>
        <c:lblOffset val="100"/>
        <c:noMultiLvlLbl val="0"/>
      </c:catAx>
      <c:valAx>
        <c:axId val="37514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514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D1A0-B169-4C96-8FA3-6368D994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4103</Words>
  <Characters>23389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27438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Dimova</dc:creator>
  <cp:keywords/>
  <dc:description/>
  <cp:lastModifiedBy>Anelia</cp:lastModifiedBy>
  <cp:revision>3</cp:revision>
  <dcterms:created xsi:type="dcterms:W3CDTF">2023-02-02T08:05:00Z</dcterms:created>
  <dcterms:modified xsi:type="dcterms:W3CDTF">2023-02-02T08:36:00Z</dcterms:modified>
</cp:coreProperties>
</file>