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07" w:rsidRPr="00591B07" w:rsidRDefault="00591B07" w:rsidP="0059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bg-BG"/>
        </w:rPr>
      </w:pPr>
      <w:r w:rsidRPr="00591B07">
        <w:rPr>
          <w:rFonts w:ascii="Times New Roman" w:hAnsi="Times New Roman" w:cs="Times New Roman"/>
          <w:b/>
          <w:sz w:val="24"/>
          <w:szCs w:val="24"/>
          <w:lang w:bidi="bg-BG"/>
        </w:rPr>
        <w:t>НАЦИОНАЛНА ПРОГРАМА „ЦИФРОВА БЪЛГАРИЯ 2025“</w:t>
      </w:r>
    </w:p>
    <w:p w:rsidR="00591B07" w:rsidRPr="00591B07" w:rsidRDefault="00591B07" w:rsidP="0059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bg-BG"/>
        </w:rPr>
      </w:pPr>
    </w:p>
    <w:p w:rsidR="00591B07" w:rsidRPr="00591B07" w:rsidRDefault="00591B07" w:rsidP="0059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bg-BG"/>
        </w:rPr>
      </w:pPr>
      <w:r w:rsidRPr="00591B07">
        <w:rPr>
          <w:rFonts w:ascii="Times New Roman" w:hAnsi="Times New Roman" w:cs="Times New Roman"/>
          <w:b/>
          <w:sz w:val="24"/>
          <w:szCs w:val="24"/>
          <w:lang w:bidi="bg-BG"/>
        </w:rPr>
        <w:t>ПЪТНА КАРТА ЗА ПЕРИОДА ДО 2025</w:t>
      </w:r>
    </w:p>
    <w:p w:rsidR="00591B07" w:rsidRPr="00591B07" w:rsidRDefault="00591B07" w:rsidP="0059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B07" w:rsidRPr="00591B07" w:rsidRDefault="00591B07" w:rsidP="00591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bidi="bg-BG"/>
        </w:rPr>
      </w:pPr>
      <w:r w:rsidRPr="00591B07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 xml:space="preserve">Отчет към </w:t>
      </w:r>
      <w:r w:rsidR="00A77797"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  <w:t xml:space="preserve">31 </w:t>
      </w:r>
      <w:r w:rsidRPr="00591B07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декември 2022г</w:t>
      </w:r>
      <w:r w:rsidRPr="00591B07">
        <w:rPr>
          <w:rFonts w:ascii="Times New Roman" w:hAnsi="Times New Roman" w:cs="Times New Roman"/>
          <w:sz w:val="24"/>
          <w:szCs w:val="24"/>
          <w:u w:val="single"/>
          <w:lang w:bidi="bg-BG"/>
        </w:rPr>
        <w:t>.</w:t>
      </w:r>
    </w:p>
    <w:p w:rsidR="00591B07" w:rsidRPr="00591B07" w:rsidRDefault="00591B07" w:rsidP="00591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bg-BG"/>
        </w:rPr>
      </w:pPr>
    </w:p>
    <w:p w:rsidR="00591B07" w:rsidRPr="00A77797" w:rsidRDefault="00591B07" w:rsidP="00E2689A">
      <w:pPr>
        <w:pStyle w:val="TableParagraph"/>
        <w:spacing w:after="120"/>
        <w:ind w:left="115"/>
        <w:jc w:val="center"/>
        <w:rPr>
          <w:b/>
          <w:i/>
          <w:sz w:val="20"/>
          <w:szCs w:val="20"/>
        </w:rPr>
      </w:pPr>
      <w:r w:rsidRPr="00A77797">
        <w:rPr>
          <w:b/>
          <w:i/>
          <w:sz w:val="20"/>
          <w:szCs w:val="20"/>
        </w:rPr>
        <w:t>ПРИОРИТЕТ 3: ПОВИШАВАНЕ НА ЦИФРОВИТЕ КОМПЕТЕНТНОСТИ И УМЕНИЯ</w:t>
      </w:r>
    </w:p>
    <w:p w:rsidR="00A77797" w:rsidRPr="00A77797" w:rsidRDefault="00A77797" w:rsidP="00A777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bg-BG"/>
        </w:rPr>
      </w:pPr>
      <w:r w:rsidRPr="00A77797">
        <w:rPr>
          <w:rFonts w:ascii="Times New Roman" w:hAnsi="Times New Roman" w:cs="Times New Roman"/>
          <w:sz w:val="20"/>
          <w:szCs w:val="20"/>
          <w:lang w:bidi="bg-BG"/>
        </w:rPr>
        <w:t xml:space="preserve">Обща забележка за всички мерки: Мерките, свързани с разходване на публичен ресурс и средства от фондовете на ЕС, ще бъдат реализирани при съобразяване </w:t>
      </w:r>
    </w:p>
    <w:p w:rsidR="00A77797" w:rsidRPr="00A77797" w:rsidRDefault="00A77797" w:rsidP="00A77797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  <w:lang w:bidi="bg-BG"/>
        </w:rPr>
      </w:pPr>
      <w:r w:rsidRPr="00A77797">
        <w:rPr>
          <w:rFonts w:ascii="Times New Roman" w:hAnsi="Times New Roman" w:cs="Times New Roman"/>
          <w:sz w:val="20"/>
          <w:szCs w:val="20"/>
          <w:lang w:bidi="bg-BG"/>
        </w:rPr>
        <w:tab/>
        <w:t>с националното и европейско законодателство в областта на държавните помощи.</w:t>
      </w:r>
    </w:p>
    <w:p w:rsidR="00A77797" w:rsidRPr="00A77797" w:rsidRDefault="00A77797" w:rsidP="00A777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bg-BG"/>
        </w:rPr>
      </w:pPr>
      <w:r w:rsidRPr="00A77797">
        <w:rPr>
          <w:rFonts w:ascii="Times New Roman" w:hAnsi="Times New Roman" w:cs="Times New Roman"/>
          <w:sz w:val="20"/>
          <w:szCs w:val="20"/>
          <w:lang w:bidi="bg-BG"/>
        </w:rPr>
        <w:t xml:space="preserve">*Забележка: Тези мерки ще бъдат реализирани в рамките на одобрените разходни тавани на съответните отговорни първостепенни </w:t>
      </w:r>
    </w:p>
    <w:p w:rsidR="00A77797" w:rsidRPr="00A77797" w:rsidRDefault="00A77797" w:rsidP="00A777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bg-BG"/>
        </w:rPr>
      </w:pPr>
      <w:r w:rsidRPr="00A77797">
        <w:rPr>
          <w:rFonts w:ascii="Times New Roman" w:hAnsi="Times New Roman" w:cs="Times New Roman"/>
          <w:sz w:val="20"/>
          <w:szCs w:val="20"/>
          <w:lang w:bidi="bg-BG"/>
        </w:rPr>
        <w:t>разпоредители с бюджет (отговорни институции)</w:t>
      </w:r>
    </w:p>
    <w:p w:rsidR="00A77797" w:rsidRDefault="00A77797" w:rsidP="00591B07">
      <w:pPr>
        <w:spacing w:after="0" w:line="240" w:lineRule="auto"/>
        <w:jc w:val="center"/>
        <w:rPr>
          <w:lang w:bidi="bg-BG"/>
        </w:rPr>
      </w:pPr>
    </w:p>
    <w:tbl>
      <w:tblPr>
        <w:tblW w:w="1559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1992"/>
        <w:gridCol w:w="1567"/>
        <w:gridCol w:w="1279"/>
        <w:gridCol w:w="4125"/>
        <w:gridCol w:w="2112"/>
        <w:gridCol w:w="1276"/>
        <w:gridCol w:w="1275"/>
      </w:tblGrid>
      <w:tr w:rsidR="00FA1635" w:rsidRPr="00FA1635" w:rsidTr="00F06B3A">
        <w:trPr>
          <w:trHeight w:val="460"/>
          <w:tblHeader/>
        </w:trPr>
        <w:tc>
          <w:tcPr>
            <w:tcW w:w="1966" w:type="dxa"/>
            <w:shd w:val="clear" w:color="auto" w:fill="BCD5ED"/>
            <w:vAlign w:val="center"/>
          </w:tcPr>
          <w:p w:rsidR="00FA1635" w:rsidRPr="00FA1635" w:rsidRDefault="00FA1635" w:rsidP="00FA1635">
            <w:pPr>
              <w:spacing w:after="0" w:line="230" w:lineRule="atLeast"/>
              <w:ind w:left="6" w:right="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Цели</w:t>
            </w:r>
          </w:p>
        </w:tc>
        <w:tc>
          <w:tcPr>
            <w:tcW w:w="1992" w:type="dxa"/>
            <w:shd w:val="clear" w:color="auto" w:fill="BCD5ED"/>
            <w:vAlign w:val="center"/>
          </w:tcPr>
          <w:p w:rsidR="00FA1635" w:rsidRPr="00FA1635" w:rsidRDefault="00FA1635" w:rsidP="00FA1635">
            <w:pPr>
              <w:spacing w:after="0" w:line="230" w:lineRule="atLeast"/>
              <w:ind w:left="6" w:right="145" w:hanging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Мерки /дейности</w:t>
            </w:r>
          </w:p>
        </w:tc>
        <w:tc>
          <w:tcPr>
            <w:tcW w:w="1567" w:type="dxa"/>
            <w:shd w:val="clear" w:color="auto" w:fill="BCD5ED"/>
            <w:vAlign w:val="center"/>
          </w:tcPr>
          <w:p w:rsidR="00FA1635" w:rsidRPr="00FA1635" w:rsidRDefault="00FA1635" w:rsidP="00FA1635">
            <w:pPr>
              <w:spacing w:after="0" w:line="230" w:lineRule="atLeast"/>
              <w:ind w:left="6" w:right="145" w:firstLine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Финансиране</w:t>
            </w:r>
          </w:p>
        </w:tc>
        <w:tc>
          <w:tcPr>
            <w:tcW w:w="1279" w:type="dxa"/>
            <w:shd w:val="clear" w:color="auto" w:fill="BCD5ED"/>
            <w:vAlign w:val="center"/>
          </w:tcPr>
          <w:p w:rsidR="00FA1635" w:rsidRPr="00FA1635" w:rsidRDefault="00FA1635" w:rsidP="00FA1635">
            <w:pPr>
              <w:spacing w:after="0" w:line="230" w:lineRule="atLeast"/>
              <w:ind w:left="6" w:right="145" w:firstLine="1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Срок за реализация</w:t>
            </w:r>
          </w:p>
        </w:tc>
        <w:tc>
          <w:tcPr>
            <w:tcW w:w="4125" w:type="dxa"/>
            <w:shd w:val="clear" w:color="auto" w:fill="BCD5ED"/>
            <w:vAlign w:val="center"/>
          </w:tcPr>
          <w:p w:rsidR="00FA1635" w:rsidRPr="00FA1635" w:rsidRDefault="00FA1635" w:rsidP="00FA1635">
            <w:pPr>
              <w:spacing w:after="0" w:line="230" w:lineRule="atLeast"/>
              <w:ind w:left="143" w:right="145" w:hanging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Очаквани резултати</w:t>
            </w:r>
          </w:p>
        </w:tc>
        <w:tc>
          <w:tcPr>
            <w:tcW w:w="2112" w:type="dxa"/>
            <w:shd w:val="clear" w:color="auto" w:fill="BCD5ED"/>
            <w:vAlign w:val="center"/>
          </w:tcPr>
          <w:p w:rsidR="00FA1635" w:rsidRPr="00FA1635" w:rsidRDefault="00FA1635" w:rsidP="00FA1635">
            <w:pPr>
              <w:spacing w:after="0" w:line="230" w:lineRule="atLeast"/>
              <w:ind w:left="6" w:right="145" w:hanging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Индикатори за изпълнение</w:t>
            </w:r>
          </w:p>
        </w:tc>
        <w:tc>
          <w:tcPr>
            <w:tcW w:w="1276" w:type="dxa"/>
            <w:shd w:val="clear" w:color="auto" w:fill="BCD5ED"/>
            <w:vAlign w:val="center"/>
          </w:tcPr>
          <w:p w:rsidR="00FA1635" w:rsidRPr="00FA1635" w:rsidRDefault="00FA1635" w:rsidP="00FA1635">
            <w:pPr>
              <w:spacing w:after="0" w:line="230" w:lineRule="atLeast"/>
              <w:ind w:left="6" w:right="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Отговорни институции</w:t>
            </w:r>
          </w:p>
        </w:tc>
        <w:tc>
          <w:tcPr>
            <w:tcW w:w="1275" w:type="dxa"/>
            <w:shd w:val="clear" w:color="auto" w:fill="BCD5ED"/>
          </w:tcPr>
          <w:p w:rsidR="00FA1635" w:rsidRPr="00FA1635" w:rsidRDefault="00FA1635" w:rsidP="00FA1635">
            <w:pPr>
              <w:spacing w:after="0" w:line="230" w:lineRule="atLeast"/>
              <w:ind w:left="6" w:right="1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Отчет към </w:t>
            </w:r>
            <w:r w:rsidR="00EB1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 w:bidi="bg-BG"/>
              </w:rPr>
              <w:t xml:space="preserve">31 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дек. 2022</w:t>
            </w:r>
          </w:p>
        </w:tc>
      </w:tr>
      <w:tr w:rsidR="00FA1635" w:rsidRPr="00FA1635" w:rsidTr="001E4581">
        <w:trPr>
          <w:trHeight w:val="433"/>
          <w:tblHeader/>
        </w:trPr>
        <w:tc>
          <w:tcPr>
            <w:tcW w:w="15592" w:type="dxa"/>
            <w:gridSpan w:val="8"/>
            <w:shd w:val="clear" w:color="auto" w:fill="DEEAF6"/>
          </w:tcPr>
          <w:p w:rsidR="00FA1635" w:rsidRPr="00FA1635" w:rsidRDefault="00FA1635" w:rsidP="00FA1635">
            <w:pPr>
              <w:spacing w:before="103" w:after="0" w:line="240" w:lineRule="auto"/>
              <w:ind w:left="38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ПРИОРИТЕТ 3: ПОВИШАВАНЕ НА ЦИФРОВИТЕ КОМПЕТЕНТНОСТИ И УМЕНИЯ</w:t>
            </w:r>
          </w:p>
        </w:tc>
      </w:tr>
      <w:tr w:rsidR="00FA1635" w:rsidRPr="00FA1635" w:rsidTr="00F06B3A">
        <w:trPr>
          <w:trHeight w:val="1885"/>
        </w:trPr>
        <w:tc>
          <w:tcPr>
            <w:tcW w:w="1966" w:type="dxa"/>
            <w:vMerge w:val="restart"/>
          </w:tcPr>
          <w:p w:rsidR="00FA1635" w:rsidRPr="00FA1635" w:rsidRDefault="00FA1635" w:rsidP="00131355">
            <w:pPr>
              <w:spacing w:after="3000" w:line="240" w:lineRule="auto"/>
              <w:ind w:left="101" w:right="10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Цел 6.</w:t>
            </w:r>
            <w:r w:rsidRPr="00FA1635"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Модернизиране на училищното</w:t>
            </w:r>
            <w:r w:rsidRPr="00FA163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и висшето образование в областта на </w:t>
            </w:r>
            <w:r w:rsidR="00131355"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информационните</w:t>
            </w:r>
            <w:r w:rsidR="0013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и комуникационни технологии</w:t>
            </w:r>
          </w:p>
          <w:p w:rsidR="00FA1635" w:rsidRPr="00FA1635" w:rsidRDefault="00FA1635" w:rsidP="00F06B3A">
            <w:pPr>
              <w:spacing w:after="0" w:line="240" w:lineRule="auto"/>
              <w:ind w:left="101" w:right="10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>Цел 6.</w:t>
            </w:r>
            <w:r w:rsidRPr="00FA1635"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Модернизиране на училищното</w:t>
            </w:r>
            <w:r w:rsidRPr="00FA163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и висшето образование в областта на </w:t>
            </w:r>
            <w:r w:rsidR="00F06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информацион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ните и комуникационни технологии</w:t>
            </w:r>
          </w:p>
        </w:tc>
        <w:tc>
          <w:tcPr>
            <w:tcW w:w="1992" w:type="dxa"/>
          </w:tcPr>
          <w:p w:rsidR="00FA1635" w:rsidRPr="00FA1635" w:rsidRDefault="00FA1635" w:rsidP="00FA163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>1. Осигуряване на адекватна инфраструктура в областта на ИКТ в училищата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.</w:t>
            </w:r>
          </w:p>
        </w:tc>
        <w:tc>
          <w:tcPr>
            <w:tcW w:w="1567" w:type="dxa"/>
          </w:tcPr>
          <w:p w:rsidR="00FA1635" w:rsidRPr="00FA1635" w:rsidRDefault="00FA1635" w:rsidP="00FA163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Средства от НП „ИКТ в </w:t>
            </w:r>
            <w:r w:rsidRPr="00FA1635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bg-BG" w:eastAsia="bg-BG" w:bidi="bg-BG"/>
              </w:rPr>
              <w:t>предучилищно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то и училищното образование“</w:t>
            </w:r>
          </w:p>
        </w:tc>
        <w:tc>
          <w:tcPr>
            <w:tcW w:w="1279" w:type="dxa"/>
          </w:tcPr>
          <w:p w:rsidR="00FA1635" w:rsidRPr="00FA1635" w:rsidRDefault="00FA1635" w:rsidP="00FA1635">
            <w:pPr>
              <w:spacing w:after="0" w:line="225" w:lineRule="exact"/>
              <w:ind w:left="1" w:right="137" w:firstLine="15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Постоянен</w:t>
            </w:r>
          </w:p>
        </w:tc>
        <w:tc>
          <w:tcPr>
            <w:tcW w:w="4125" w:type="dxa"/>
          </w:tcPr>
          <w:p w:rsidR="00FA1635" w:rsidRPr="00FA1635" w:rsidRDefault="00FA1635" w:rsidP="003B394F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Завършена опорна инфраструктура между</w:t>
            </w:r>
            <w:r w:rsidRPr="00FA163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всички регионални управления</w:t>
            </w:r>
            <w:r w:rsidRPr="00FA163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на образованието с изградени връзки към иновативни</w:t>
            </w:r>
            <w:r w:rsidRPr="00FA163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дата центрове за съдържание</w:t>
            </w:r>
            <w:r w:rsidRPr="00FA16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 ресурси, както и възможност</w:t>
            </w:r>
            <w:r w:rsidRPr="00FA1635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за поетапно включване на всички образователни институции към единната</w:t>
            </w:r>
            <w:r w:rsidRPr="00FA16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оптична образователна инфраструктура; Финансирани са всички общински и държавни училища със средства за интернет свързаност.</w:t>
            </w:r>
            <w:r w:rsidRPr="00FA1635">
              <w:rPr>
                <w:lang w:val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Продължи изграждането и доизграждането на </w:t>
            </w:r>
            <w:proofErr w:type="spellStart"/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Wi</w:t>
            </w:r>
            <w:proofErr w:type="spellEnd"/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</w:t>
            </w:r>
            <w:proofErr w:type="spellStart"/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Fi</w:t>
            </w:r>
            <w:proofErr w:type="spellEnd"/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мрежи и зони, като са включени и центровете за специални</w:t>
            </w:r>
            <w:r w:rsidR="003B394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образователни потребности, а с</w:t>
            </w:r>
            <w:r w:rsidR="003B394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ъщо и центровете за подкрепа на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личностното развитие. Това насърчи ползването на лични мобилни устройства в съответствие със</w:t>
            </w:r>
            <w:r w:rsidR="003B394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заложеното в Стратегията за ефективно внедряване на ИКТ в образованието и науката на Р България до 2020 година.</w:t>
            </w:r>
            <w:r w:rsidR="0013135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За поредна година в новата национална програма „Информационни и комуникационни технологии (ИКТ) в системата на предучилищното и училищното</w:t>
            </w:r>
          </w:p>
          <w:p w:rsidR="00FA1635" w:rsidRPr="00FA1635" w:rsidRDefault="00FA1635" w:rsidP="003B394F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образование“ бяха включени и институции от системата на предучилищното образование. Внедрени са съвременни методи за електронно обучение, като едновременно се наблегна и на обучението на педагогическите специалисти за търсене и представяне на подходящо съдържание в съответната възрастова група. Създаването на електронното съдържание и софтуер за професионално обучение бе съществено подкрепена и в системата на училищното образование бе предоставена възможност за използване на подходящо</w:t>
            </w:r>
            <w:r w:rsidR="003B394F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образователно съдържание и софтуер, за което МОН даде съответни препоръки.</w:t>
            </w:r>
          </w:p>
        </w:tc>
        <w:tc>
          <w:tcPr>
            <w:tcW w:w="2112" w:type="dxa"/>
          </w:tcPr>
          <w:p w:rsidR="003B394F" w:rsidRPr="00510203" w:rsidRDefault="003B394F" w:rsidP="003B394F">
            <w:pPr>
              <w:spacing w:after="0" w:line="240" w:lineRule="auto"/>
              <w:ind w:left="108" w:right="258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</w:pPr>
            <w:r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lastRenderedPageBreak/>
              <w:t>- 100 ДГ получиха интерактивна дъска и късо фокусен проектор.</w:t>
            </w:r>
          </w:p>
          <w:p w:rsidR="003B394F" w:rsidRPr="00510203" w:rsidRDefault="003B394F" w:rsidP="003B394F">
            <w:pPr>
              <w:spacing w:after="0" w:line="240" w:lineRule="auto"/>
              <w:ind w:left="108" w:right="258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</w:pPr>
            <w:r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 xml:space="preserve"> - 150 ДГ получиха по един лаптоп.</w:t>
            </w:r>
          </w:p>
          <w:p w:rsidR="003B394F" w:rsidRPr="00510203" w:rsidRDefault="004255A7" w:rsidP="003B394F">
            <w:pPr>
              <w:spacing w:after="0" w:line="240" w:lineRule="auto"/>
              <w:ind w:left="108" w:right="258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</w:pPr>
            <w:r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 xml:space="preserve"> - 1 544 800 лв. е </w:t>
            </w:r>
            <w:r w:rsidR="003B394F"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>финансиран</w:t>
            </w:r>
            <w:r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 xml:space="preserve">ето за закупуване на електронни </w:t>
            </w:r>
            <w:r w:rsidR="003B394F"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>дневници за</w:t>
            </w:r>
            <w:r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 xml:space="preserve"> 1 </w:t>
            </w:r>
            <w:r w:rsidR="003B394F"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>595 общински детски градини в цялата страна.</w:t>
            </w:r>
          </w:p>
          <w:p w:rsidR="003B394F" w:rsidRPr="00510203" w:rsidRDefault="004255A7" w:rsidP="003B394F">
            <w:pPr>
              <w:spacing w:after="0" w:line="240" w:lineRule="auto"/>
              <w:ind w:left="108" w:right="258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</w:pPr>
            <w:r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 xml:space="preserve"> - 1 305 </w:t>
            </w:r>
            <w:r w:rsidR="003B394F"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>150 лв. е финансирането за закупуване на електронни дневници за 1872 общински и държавни училища, ЦПЛР и ЦСОП.</w:t>
            </w:r>
          </w:p>
          <w:p w:rsidR="003B394F" w:rsidRPr="00510203" w:rsidRDefault="00131355" w:rsidP="003B394F">
            <w:pPr>
              <w:spacing w:after="0" w:line="240" w:lineRule="auto"/>
              <w:ind w:left="108" w:right="258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</w:pPr>
            <w:r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 xml:space="preserve"> - На 50 </w:t>
            </w:r>
            <w:r w:rsidR="003B394F"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>професионал</w:t>
            </w:r>
            <w:r w:rsidR="004255A7"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>ни гимназии са предоставени 299 </w:t>
            </w:r>
            <w:r w:rsidR="003B394F"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 xml:space="preserve">896 лв. за закупуване на софтуер за </w:t>
            </w:r>
            <w:r w:rsidR="003B394F"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lastRenderedPageBreak/>
              <w:t>професионално обучение.</w:t>
            </w:r>
          </w:p>
          <w:p w:rsidR="003B394F" w:rsidRPr="00510203" w:rsidRDefault="003B394F" w:rsidP="003B394F">
            <w:pPr>
              <w:spacing w:after="0" w:line="240" w:lineRule="auto"/>
              <w:ind w:left="108" w:right="258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</w:pPr>
            <w:r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 xml:space="preserve"> - 121 училища имат нови </w:t>
            </w:r>
            <w:proofErr w:type="spellStart"/>
            <w:r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>Wi-Fi</w:t>
            </w:r>
            <w:proofErr w:type="spellEnd"/>
            <w:r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 xml:space="preserve"> зон</w:t>
            </w:r>
            <w:r w:rsidR="004255A7"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>и, за което са предоставени 969 </w:t>
            </w:r>
            <w:r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>299 лв.</w:t>
            </w:r>
          </w:p>
          <w:p w:rsidR="003B394F" w:rsidRPr="00510203" w:rsidRDefault="003B394F" w:rsidP="003B394F">
            <w:pPr>
              <w:spacing w:after="0" w:line="240" w:lineRule="auto"/>
              <w:ind w:left="108" w:right="258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</w:pPr>
            <w:r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 xml:space="preserve"> - 217 училища са оборудвани с общо 300 съвременни интерактивни дисплея с вградени компютърни модули за обучение в класните стаи.</w:t>
            </w:r>
          </w:p>
          <w:p w:rsidR="003B394F" w:rsidRPr="00510203" w:rsidRDefault="003B394F" w:rsidP="003B394F">
            <w:pPr>
              <w:spacing w:after="0" w:line="240" w:lineRule="auto"/>
              <w:ind w:left="108" w:right="258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</w:pPr>
            <w:r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 xml:space="preserve"> - 1523 лаптопа са предоставени на 123 училищата - от тях 1196 са с операционна система Windows, а останалите 327 – с </w:t>
            </w:r>
            <w:proofErr w:type="spellStart"/>
            <w:r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>Chrome</w:t>
            </w:r>
            <w:proofErr w:type="spellEnd"/>
            <w:r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 xml:space="preserve">. </w:t>
            </w:r>
          </w:p>
          <w:p w:rsidR="00FA1635" w:rsidRPr="00510203" w:rsidRDefault="004255A7" w:rsidP="003B394F">
            <w:pPr>
              <w:spacing w:after="0" w:line="240" w:lineRule="auto"/>
              <w:ind w:left="108" w:right="258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</w:pPr>
            <w:r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 xml:space="preserve"> - 671 </w:t>
            </w:r>
            <w:r w:rsidR="003B394F" w:rsidRPr="00510203"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  <w:t>810 лв. е финансирането за интернет свързаност на 1366 държавни и общински училища, ЦПЛР и ЦСОП, и 28 РУО</w:t>
            </w:r>
          </w:p>
        </w:tc>
        <w:tc>
          <w:tcPr>
            <w:tcW w:w="1276" w:type="dxa"/>
          </w:tcPr>
          <w:p w:rsidR="00FA1635" w:rsidRPr="00FA1635" w:rsidRDefault="00FA1635" w:rsidP="00FA163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МОН</w:t>
            </w:r>
          </w:p>
        </w:tc>
        <w:tc>
          <w:tcPr>
            <w:tcW w:w="1275" w:type="dxa"/>
          </w:tcPr>
          <w:p w:rsidR="00FA1635" w:rsidRPr="00FA1635" w:rsidRDefault="00FA1635" w:rsidP="00FA1635">
            <w:pPr>
              <w:spacing w:after="0" w:line="21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изпълнява се</w:t>
            </w:r>
          </w:p>
        </w:tc>
      </w:tr>
      <w:tr w:rsidR="00FA1635" w:rsidRPr="00FA1635" w:rsidTr="00F06B3A">
        <w:trPr>
          <w:trHeight w:val="2410"/>
        </w:trPr>
        <w:tc>
          <w:tcPr>
            <w:tcW w:w="1966" w:type="dxa"/>
            <w:vMerge/>
          </w:tcPr>
          <w:p w:rsidR="00FA1635" w:rsidRPr="00FA1635" w:rsidRDefault="00FA1635" w:rsidP="00FA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992" w:type="dxa"/>
            <w:shd w:val="clear" w:color="auto" w:fill="CCFFFF"/>
          </w:tcPr>
          <w:p w:rsidR="00FA1635" w:rsidRPr="00FA1635" w:rsidRDefault="00FA1635" w:rsidP="00FA1635">
            <w:pPr>
              <w:spacing w:after="0" w:line="240" w:lineRule="auto"/>
              <w:ind w:left="108" w:right="2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2. Оценяване на цифровите компетентности на учениците при завършване на първи гимназиален</w:t>
            </w:r>
            <w:r w:rsidRPr="00FA1635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етап (X</w:t>
            </w:r>
            <w:r w:rsidRPr="00FA163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клас).</w:t>
            </w:r>
          </w:p>
        </w:tc>
        <w:tc>
          <w:tcPr>
            <w:tcW w:w="1567" w:type="dxa"/>
            <w:shd w:val="clear" w:color="auto" w:fill="CCFFFF"/>
          </w:tcPr>
          <w:p w:rsidR="00FA1635" w:rsidRPr="00FA1635" w:rsidRDefault="00FA1635" w:rsidP="00FA1635">
            <w:pPr>
              <w:spacing w:after="0" w:line="240" w:lineRule="auto"/>
              <w:ind w:left="108" w:right="127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НП „Система за национално </w:t>
            </w:r>
            <w:r w:rsidRPr="00FA1635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bg-BG" w:eastAsia="bg-BG" w:bidi="bg-BG"/>
              </w:rPr>
              <w:t>стандартизиран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 външно оценяване“</w:t>
            </w:r>
          </w:p>
        </w:tc>
        <w:tc>
          <w:tcPr>
            <w:tcW w:w="1279" w:type="dxa"/>
            <w:shd w:val="clear" w:color="auto" w:fill="CCFFFF"/>
          </w:tcPr>
          <w:p w:rsidR="00FA1635" w:rsidRPr="00FA1635" w:rsidRDefault="00FA1635" w:rsidP="00FA1635">
            <w:pPr>
              <w:spacing w:after="0" w:line="225" w:lineRule="exact"/>
              <w:ind w:left="58" w:right="27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Ежегодно</w:t>
            </w:r>
          </w:p>
        </w:tc>
        <w:tc>
          <w:tcPr>
            <w:tcW w:w="4125" w:type="dxa"/>
            <w:shd w:val="clear" w:color="auto" w:fill="CCFFFF"/>
          </w:tcPr>
          <w:p w:rsidR="00FA1635" w:rsidRPr="00FA1635" w:rsidRDefault="00FA1635" w:rsidP="00FA163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Мотивиране на учениците за придобиване на уменията, заложени в Европейската</w:t>
            </w:r>
          </w:p>
          <w:p w:rsidR="00FA1635" w:rsidRPr="00FA1635" w:rsidRDefault="00FA1635" w:rsidP="00FA1635">
            <w:pPr>
              <w:spacing w:after="0" w:line="240" w:lineRule="auto"/>
              <w:ind w:left="108" w:right="287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референтна рамка за цифрови компетентности.</w:t>
            </w:r>
          </w:p>
        </w:tc>
        <w:tc>
          <w:tcPr>
            <w:tcW w:w="2112" w:type="dxa"/>
            <w:shd w:val="clear" w:color="auto" w:fill="CCFFFF"/>
          </w:tcPr>
          <w:p w:rsidR="00FA1635" w:rsidRPr="00CF39CD" w:rsidRDefault="00FA1635" w:rsidP="00EB1EC0">
            <w:pPr>
              <w:spacing w:after="0" w:line="240" w:lineRule="auto"/>
              <w:ind w:left="101" w:right="101"/>
              <w:rPr>
                <w:rFonts w:ascii="Times New Roman" w:eastAsia="Times New Roman" w:hAnsi="Times New Roman" w:cs="Times New Roman"/>
                <w:sz w:val="16"/>
                <w:szCs w:val="16"/>
                <w:lang w:eastAsia="bg-BG" w:bidi="bg-BG"/>
              </w:rPr>
            </w:pPr>
            <w:r w:rsidRPr="00CF39CD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 w:bidi="bg-BG"/>
              </w:rPr>
              <w:t>Провежда се за всички ученици от Х клас, заявили желание да положат изпита. 3 821 ученици са подали заявление. 3 622 ученици са положи изпита. От тях 2 681 са постигнали ниво „Самостоятелно ниво на владеене“ съгласно Европейската референтна рамка за измерване на дигиталните компетентности.</w:t>
            </w:r>
          </w:p>
        </w:tc>
        <w:tc>
          <w:tcPr>
            <w:tcW w:w="1276" w:type="dxa"/>
            <w:shd w:val="clear" w:color="auto" w:fill="CCFFFF"/>
          </w:tcPr>
          <w:p w:rsidR="00FA1635" w:rsidRPr="00FA1635" w:rsidRDefault="00FA1635" w:rsidP="00FA163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МОН</w:t>
            </w:r>
          </w:p>
        </w:tc>
        <w:tc>
          <w:tcPr>
            <w:tcW w:w="1275" w:type="dxa"/>
            <w:shd w:val="clear" w:color="auto" w:fill="CCFFFF"/>
          </w:tcPr>
          <w:p w:rsidR="00FA1635" w:rsidRPr="00FA1635" w:rsidRDefault="00FA1635" w:rsidP="00FA1635">
            <w:pPr>
              <w:spacing w:after="0" w:line="211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изпълнена</w:t>
            </w:r>
          </w:p>
        </w:tc>
      </w:tr>
    </w:tbl>
    <w:p w:rsidR="00FA1635" w:rsidRPr="00FA1635" w:rsidRDefault="00FA1635" w:rsidP="00FA1635">
      <w:pPr>
        <w:spacing w:before="116" w:after="0" w:line="240" w:lineRule="auto"/>
        <w:ind w:left="823" w:right="684"/>
        <w:rPr>
          <w:rFonts w:ascii="Times New Roman" w:eastAsia="Times New Roman" w:hAnsi="Times New Roman" w:cs="Times New Roman"/>
          <w:sz w:val="20"/>
          <w:szCs w:val="20"/>
          <w:lang w:val="bg-BG" w:eastAsia="bg-BG" w:bidi="bg-BG"/>
        </w:rPr>
        <w:sectPr w:rsidR="00FA1635" w:rsidRPr="00FA1635" w:rsidSect="00991F5F">
          <w:footerReference w:type="default" r:id="rId8"/>
          <w:pgSz w:w="16840" w:h="11910" w:orient="landscape"/>
          <w:pgMar w:top="993" w:right="420" w:bottom="993" w:left="460" w:header="718" w:footer="731" w:gutter="0"/>
          <w:cols w:space="708"/>
        </w:sectPr>
      </w:pPr>
    </w:p>
    <w:tbl>
      <w:tblPr>
        <w:tblW w:w="1554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2115"/>
        <w:gridCol w:w="11"/>
        <w:gridCol w:w="1687"/>
        <w:gridCol w:w="180"/>
        <w:gridCol w:w="1350"/>
        <w:gridCol w:w="180"/>
        <w:gridCol w:w="2660"/>
        <w:gridCol w:w="180"/>
        <w:gridCol w:w="2650"/>
        <w:gridCol w:w="1139"/>
        <w:gridCol w:w="180"/>
        <w:gridCol w:w="1381"/>
      </w:tblGrid>
      <w:tr w:rsidR="00FA1635" w:rsidRPr="00FA1635" w:rsidTr="00131355">
        <w:trPr>
          <w:trHeight w:val="716"/>
          <w:tblHeader/>
        </w:trPr>
        <w:tc>
          <w:tcPr>
            <w:tcW w:w="1833" w:type="dxa"/>
            <w:shd w:val="clear" w:color="auto" w:fill="BCD5ED"/>
            <w:vAlign w:val="center"/>
          </w:tcPr>
          <w:p w:rsidR="00FA1635" w:rsidRPr="00FA1635" w:rsidRDefault="00FA1635" w:rsidP="00510203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>Цели</w:t>
            </w:r>
          </w:p>
        </w:tc>
        <w:tc>
          <w:tcPr>
            <w:tcW w:w="2126" w:type="dxa"/>
            <w:gridSpan w:val="2"/>
            <w:shd w:val="clear" w:color="auto" w:fill="BCD5ED"/>
            <w:vAlign w:val="center"/>
          </w:tcPr>
          <w:p w:rsidR="00FA1635" w:rsidRPr="00FA1635" w:rsidRDefault="00FA1635" w:rsidP="00510203">
            <w:pPr>
              <w:tabs>
                <w:tab w:val="left" w:pos="1921"/>
              </w:tabs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Мерки /дейности</w:t>
            </w:r>
          </w:p>
        </w:tc>
        <w:tc>
          <w:tcPr>
            <w:tcW w:w="1687" w:type="dxa"/>
            <w:shd w:val="clear" w:color="auto" w:fill="BCD5ED"/>
            <w:vAlign w:val="center"/>
          </w:tcPr>
          <w:p w:rsidR="00FA1635" w:rsidRPr="00FA1635" w:rsidRDefault="00FA1635" w:rsidP="00510203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Финансиране</w:t>
            </w:r>
          </w:p>
        </w:tc>
        <w:tc>
          <w:tcPr>
            <w:tcW w:w="1530" w:type="dxa"/>
            <w:gridSpan w:val="2"/>
            <w:shd w:val="clear" w:color="auto" w:fill="BCD5ED"/>
            <w:vAlign w:val="center"/>
          </w:tcPr>
          <w:p w:rsidR="00FA1635" w:rsidRPr="00FA1635" w:rsidRDefault="00FA1635" w:rsidP="00510203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Срок </w:t>
            </w:r>
            <w:r w:rsidR="0013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br/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за реализация</w:t>
            </w:r>
          </w:p>
        </w:tc>
        <w:tc>
          <w:tcPr>
            <w:tcW w:w="2840" w:type="dxa"/>
            <w:gridSpan w:val="2"/>
            <w:shd w:val="clear" w:color="auto" w:fill="BCD5ED"/>
            <w:vAlign w:val="center"/>
          </w:tcPr>
          <w:p w:rsidR="00FA1635" w:rsidRPr="00FA1635" w:rsidRDefault="00FA1635" w:rsidP="00510203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Очаквани резултати</w:t>
            </w:r>
          </w:p>
        </w:tc>
        <w:tc>
          <w:tcPr>
            <w:tcW w:w="2830" w:type="dxa"/>
            <w:gridSpan w:val="2"/>
            <w:shd w:val="clear" w:color="auto" w:fill="BCD5ED"/>
            <w:vAlign w:val="center"/>
          </w:tcPr>
          <w:p w:rsidR="00FA1635" w:rsidRPr="00FA1635" w:rsidRDefault="00FA1635" w:rsidP="00510203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Индикатори за изпълнение</w:t>
            </w:r>
          </w:p>
        </w:tc>
        <w:tc>
          <w:tcPr>
            <w:tcW w:w="1139" w:type="dxa"/>
            <w:shd w:val="clear" w:color="auto" w:fill="BCD5ED"/>
            <w:vAlign w:val="center"/>
          </w:tcPr>
          <w:p w:rsidR="00FA1635" w:rsidRPr="00FA1635" w:rsidRDefault="00FA1635" w:rsidP="00510203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Отговорни институции</w:t>
            </w:r>
          </w:p>
        </w:tc>
        <w:tc>
          <w:tcPr>
            <w:tcW w:w="1561" w:type="dxa"/>
            <w:gridSpan w:val="2"/>
            <w:shd w:val="clear" w:color="auto" w:fill="BCD5ED"/>
            <w:vAlign w:val="center"/>
          </w:tcPr>
          <w:p w:rsidR="00FA1635" w:rsidRPr="00FA1635" w:rsidRDefault="00FA1635" w:rsidP="00510203">
            <w:pPr>
              <w:spacing w:after="0" w:line="240" w:lineRule="auto"/>
              <w:ind w:left="-288" w:right="-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Отчет </w:t>
            </w:r>
            <w:r w:rsidR="0013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br/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към </w:t>
            </w:r>
            <w:r w:rsidR="00131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31 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дек. 2022</w:t>
            </w:r>
          </w:p>
        </w:tc>
      </w:tr>
      <w:tr w:rsidR="00FA1635" w:rsidRPr="00FA1635" w:rsidTr="00131355">
        <w:trPr>
          <w:trHeight w:val="433"/>
          <w:tblHeader/>
        </w:trPr>
        <w:tc>
          <w:tcPr>
            <w:tcW w:w="15546" w:type="dxa"/>
            <w:gridSpan w:val="13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FA1635" w:rsidRPr="00FA1635" w:rsidRDefault="00FA1635" w:rsidP="00510203">
            <w:pPr>
              <w:spacing w:after="0" w:line="240" w:lineRule="auto"/>
              <w:ind w:left="2376" w:hanging="23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ПРИОРИТЕТ 3: ПОВИШАВАНЕ НА ЦИФРОВИТЕ КОМПЕТЕНТНОСТИ И УМЕНИЯ</w:t>
            </w:r>
          </w:p>
        </w:tc>
      </w:tr>
      <w:tr w:rsidR="00FA1635" w:rsidRPr="00FA1635" w:rsidTr="00131355">
        <w:trPr>
          <w:trHeight w:val="70"/>
        </w:trPr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635" w:rsidRPr="00352F1A" w:rsidRDefault="00FA1635" w:rsidP="007B074A">
            <w:pPr>
              <w:spacing w:before="60" w:after="120" w:line="240" w:lineRule="auto"/>
              <w:ind w:left="101" w:right="-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Цел 6.</w:t>
            </w:r>
            <w:r w:rsidRPr="00FA1635"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Модернизиране на училищното</w:t>
            </w:r>
            <w:r w:rsidRPr="00FA163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и висшето образование в областта на информационните и комуникационни технологии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CCFFFF"/>
          </w:tcPr>
          <w:p w:rsidR="00FA1635" w:rsidRPr="00FA1635" w:rsidRDefault="00FA1635" w:rsidP="00510203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3. Модернизиране на учебното съдържание и методи на преподаване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</w:tcBorders>
            <w:shd w:val="clear" w:color="auto" w:fill="CCFFFF"/>
          </w:tcPr>
          <w:p w:rsidR="00FA1635" w:rsidRPr="00FA1635" w:rsidRDefault="00FA1635" w:rsidP="00510203">
            <w:pPr>
              <w:spacing w:before="60"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FA1635" w:rsidRPr="00FA1635" w:rsidRDefault="00FA1635" w:rsidP="00FA1635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Национална програма „Обучение за ИТ кариера“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</w:tcBorders>
            <w:shd w:val="clear" w:color="auto" w:fill="CCFFFF"/>
          </w:tcPr>
          <w:p w:rsidR="00FA1635" w:rsidRPr="00FA1635" w:rsidRDefault="00FA1635" w:rsidP="00510203">
            <w:pPr>
              <w:spacing w:before="60" w:after="0" w:line="240" w:lineRule="auto"/>
              <w:ind w:left="86" w:right="13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2017- 2020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</w:tcBorders>
            <w:shd w:val="clear" w:color="auto" w:fill="CCFFFF"/>
          </w:tcPr>
          <w:p w:rsidR="00FA1635" w:rsidRPr="00FA1635" w:rsidRDefault="00FA1635" w:rsidP="00B81478">
            <w:pPr>
              <w:spacing w:before="60" w:after="0" w:line="240" w:lineRule="auto"/>
              <w:ind w:left="115" w:right="14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Увеличаване броя на учениците, които са придобили професионална квалификация по професия от направление „Компютърни науки“ и/или продължават образованието си във висши училища в професионално направление</w:t>
            </w:r>
          </w:p>
          <w:p w:rsidR="00FA1635" w:rsidRPr="00FA1635" w:rsidRDefault="00FA1635" w:rsidP="00FA1635">
            <w:pPr>
              <w:spacing w:after="0" w:line="240" w:lineRule="auto"/>
              <w:ind w:left="108" w:right="14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„Информатика и компютърни науки“. Разработване на учебни планове и програми за обучение по професиите от професионално направление „Компютърни науки“ в партньорство с бизнеса.</w:t>
            </w:r>
          </w:p>
          <w:p w:rsidR="00FA1635" w:rsidRPr="00FA1635" w:rsidRDefault="00FA1635" w:rsidP="00FA1635">
            <w:pPr>
              <w:spacing w:after="0" w:line="240" w:lineRule="auto"/>
              <w:ind w:left="69" w:right="13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Създаване на условия за провеждане на софтуерно професионално образование</w:t>
            </w:r>
            <w:r w:rsidRPr="00FA163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 обучение в сътрудничество</w:t>
            </w:r>
            <w:r w:rsidRPr="00FA163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с работодатели от ИТ</w:t>
            </w:r>
            <w:r w:rsidRPr="00FA163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сектора.</w:t>
            </w:r>
          </w:p>
        </w:tc>
        <w:tc>
          <w:tcPr>
            <w:tcW w:w="2650" w:type="dxa"/>
            <w:tcBorders>
              <w:top w:val="single" w:sz="4" w:space="0" w:color="000000"/>
            </w:tcBorders>
            <w:shd w:val="clear" w:color="auto" w:fill="CCFFFF"/>
          </w:tcPr>
          <w:p w:rsidR="00FA1635" w:rsidRPr="00FA1635" w:rsidRDefault="00FA1635" w:rsidP="00B81478">
            <w:pPr>
              <w:spacing w:before="60" w:after="0" w:line="240" w:lineRule="auto"/>
              <w:ind w:left="115" w:right="43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Изградено онлайн решение за споделяне на съдържание и тестови задачи.</w:t>
            </w:r>
          </w:p>
          <w:p w:rsidR="00FA1635" w:rsidRPr="00FA1635" w:rsidRDefault="00FA1635" w:rsidP="007B074A">
            <w:pPr>
              <w:spacing w:after="0" w:line="240" w:lineRule="auto"/>
              <w:ind w:left="108" w:right="4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Разработени учебни планове и учебни програми за професионално образование и обучение по професиите „Програмист“, „Системен програмист“ и „Приложен програмист“.</w:t>
            </w:r>
            <w:r w:rsidR="007B074A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Разработени учебни материали за обучение на ученици.</w:t>
            </w:r>
          </w:p>
          <w:p w:rsidR="00FA1635" w:rsidRPr="00FA1635" w:rsidRDefault="00FA1635" w:rsidP="00FA1635">
            <w:pPr>
              <w:spacing w:before="1" w:after="0" w:line="230" w:lineRule="exact"/>
              <w:ind w:left="108" w:right="4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Разработени критерии / тестове за оценяване на ученици.</w:t>
            </w:r>
          </w:p>
          <w:p w:rsidR="00FA1635" w:rsidRPr="00FA1635" w:rsidRDefault="00FA1635" w:rsidP="00FA1635">
            <w:pPr>
              <w:spacing w:before="1" w:after="0" w:line="230" w:lineRule="exact"/>
              <w:ind w:left="108" w:right="14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</w:tcBorders>
            <w:shd w:val="clear" w:color="auto" w:fill="CCFFFF"/>
          </w:tcPr>
          <w:p w:rsidR="00FA1635" w:rsidRPr="00FA1635" w:rsidRDefault="00FA1635" w:rsidP="00B81478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МОН</w:t>
            </w:r>
          </w:p>
        </w:tc>
        <w:tc>
          <w:tcPr>
            <w:tcW w:w="1381" w:type="dxa"/>
            <w:tcBorders>
              <w:top w:val="single" w:sz="4" w:space="0" w:color="000000"/>
            </w:tcBorders>
            <w:shd w:val="clear" w:color="auto" w:fill="CCFFFF"/>
          </w:tcPr>
          <w:p w:rsidR="00FA1635" w:rsidRPr="00FA1635" w:rsidRDefault="00FA1635" w:rsidP="00B81478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изпълнена</w:t>
            </w:r>
          </w:p>
          <w:p w:rsidR="00FA1635" w:rsidRPr="00FA1635" w:rsidRDefault="00FA1635" w:rsidP="00FA1635">
            <w:pPr>
              <w:spacing w:after="0" w:line="211" w:lineRule="exact"/>
              <w:ind w:left="11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 w:bidi="bg-BG"/>
              </w:rPr>
            </w:pPr>
          </w:p>
        </w:tc>
      </w:tr>
      <w:tr w:rsidR="00FA1635" w:rsidRPr="00FA1635" w:rsidTr="007B074A">
        <w:trPr>
          <w:trHeight w:val="70"/>
        </w:trPr>
        <w:tc>
          <w:tcPr>
            <w:tcW w:w="1833" w:type="dxa"/>
            <w:vMerge w:val="restart"/>
            <w:tcBorders>
              <w:top w:val="nil"/>
            </w:tcBorders>
            <w:vAlign w:val="center"/>
          </w:tcPr>
          <w:p w:rsidR="00FA1635" w:rsidRPr="00FA1635" w:rsidRDefault="00FA1635" w:rsidP="00F56C03">
            <w:pPr>
              <w:spacing w:before="3000" w:after="2400" w:line="240" w:lineRule="auto"/>
              <w:ind w:left="101" w:right="-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Цел 6.</w:t>
            </w:r>
            <w:r w:rsidRPr="00FA1635"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Модернизиране на училищното</w:t>
            </w:r>
            <w:r w:rsidRPr="00FA163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и висшето образование в областта на информационните и комуникационни технологии</w:t>
            </w:r>
          </w:p>
          <w:p w:rsidR="00FA1635" w:rsidRPr="00FA1635" w:rsidRDefault="00FA1635" w:rsidP="007B074A">
            <w:pPr>
              <w:spacing w:after="0" w:line="240" w:lineRule="auto"/>
              <w:ind w:left="94" w:right="-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>Цел 6.</w:t>
            </w:r>
            <w:r w:rsidRPr="00FA1635"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Модернизиране на училищното</w:t>
            </w:r>
            <w:r w:rsidRPr="00FA163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и висшето образование в областта на информационните и комуникационни технологии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A1635" w:rsidRPr="00FA1635" w:rsidRDefault="00FA1635" w:rsidP="007B074A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>3</w:t>
            </w:r>
            <w:r w:rsidR="00234D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а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. Модернизиране на учебното съдържание и методи </w:t>
            </w:r>
            <w:r w:rsidR="00234D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на преподаване</w:t>
            </w:r>
          </w:p>
          <w:p w:rsidR="00FA1635" w:rsidRPr="00FA1635" w:rsidRDefault="00FA1635" w:rsidP="00FA1635">
            <w:pPr>
              <w:spacing w:before="22" w:after="0" w:line="229" w:lineRule="exact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A1635" w:rsidRPr="00FA1635" w:rsidRDefault="00FA1635" w:rsidP="007B074A">
            <w:pPr>
              <w:spacing w:before="60"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НП „Обучение за ИТ умения и кариера“</w:t>
            </w:r>
          </w:p>
          <w:p w:rsidR="00FA1635" w:rsidRPr="00FA1635" w:rsidRDefault="00FA1635" w:rsidP="00FA1635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 w:bidi="bg-BG"/>
              </w:rPr>
              <w:t>– Модул 1 „Обучение за ИТ кариера“</w:t>
            </w:r>
          </w:p>
          <w:p w:rsidR="00FA1635" w:rsidRPr="00FA1635" w:rsidRDefault="00FA1635" w:rsidP="00FA1635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 w:bidi="bg-BG"/>
              </w:rPr>
              <w:t>– Модул 2 „ИТ умения за бъдещето</w:t>
            </w:r>
          </w:p>
          <w:p w:rsidR="00FA1635" w:rsidRPr="00FA1635" w:rsidRDefault="00FA1635" w:rsidP="00FA1635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 w:eastAsia="bg-BG" w:bidi="bg-BG"/>
              </w:rPr>
            </w:pPr>
          </w:p>
          <w:p w:rsidR="00FA1635" w:rsidRPr="00FA1635" w:rsidRDefault="00FA1635" w:rsidP="00FA1635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 w:bidi="bg-BG"/>
              </w:rPr>
              <w:t>БЮДЖЕТ НА НП „ОБУЧЕНИЕ ЗА ИТ УМЕНИЯ И КАРИЕРА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“ за </w:t>
            </w:r>
          </w:p>
          <w:p w:rsidR="00FA1635" w:rsidRPr="00FA1635" w:rsidRDefault="00FA1635" w:rsidP="00FA1635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2021/2022 учебна година</w:t>
            </w:r>
          </w:p>
          <w:p w:rsidR="00FA1635" w:rsidRPr="00FA1635" w:rsidRDefault="00FA1635" w:rsidP="00FA1635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– Общ бюджет на НП – 670 000 лв.</w:t>
            </w:r>
          </w:p>
          <w:p w:rsidR="00FA1635" w:rsidRPr="00FA1635" w:rsidRDefault="00FA1635" w:rsidP="00FA1635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–. За Модул 1 – 320 000 лв.</w:t>
            </w:r>
          </w:p>
          <w:p w:rsidR="00FA1635" w:rsidRPr="00FA1635" w:rsidRDefault="00FA1635" w:rsidP="00FA1635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– За Модул 2 – 350 000 лв.</w:t>
            </w:r>
          </w:p>
          <w:p w:rsidR="00FA1635" w:rsidRPr="00FA1635" w:rsidRDefault="00FA1635" w:rsidP="00FA1635">
            <w:pPr>
              <w:spacing w:before="1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A1635" w:rsidRPr="00FA1635" w:rsidRDefault="00510203" w:rsidP="007B074A">
            <w:pPr>
              <w:spacing w:before="60" w:after="0" w:line="240" w:lineRule="auto"/>
              <w:ind w:left="86" w:right="13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2021 – 2023</w:t>
            </w:r>
            <w:r w:rsidR="00FA1635"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учебна година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A1635" w:rsidRPr="00FA1635" w:rsidRDefault="00FA1635" w:rsidP="007B074A">
            <w:pPr>
              <w:spacing w:before="60" w:after="0" w:line="240" w:lineRule="auto"/>
              <w:ind w:left="72" w:right="13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1. Изграден капацитет за съвременно софтуерно образование и обучение по високи ИТ и други технологии чрез партньорство с университети и с ИТ бизнеса.</w:t>
            </w:r>
          </w:p>
          <w:p w:rsidR="00FA1635" w:rsidRPr="00FA1635" w:rsidRDefault="00FA1635" w:rsidP="00FA1635">
            <w:pPr>
              <w:spacing w:after="0" w:line="240" w:lineRule="auto"/>
              <w:ind w:left="69" w:right="13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2. Надградени уменията за работа в дигитална и високотехнологична среда.</w:t>
            </w:r>
          </w:p>
          <w:p w:rsidR="00FA1635" w:rsidRPr="00FA1635" w:rsidRDefault="00FA1635" w:rsidP="00FA1635">
            <w:pPr>
              <w:spacing w:after="0" w:line="240" w:lineRule="auto"/>
              <w:ind w:left="69" w:right="13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3. Адаптирани учебни програми, отразяващи най-новите тенденции в дигиталните технологии.</w:t>
            </w:r>
          </w:p>
          <w:p w:rsidR="00FA1635" w:rsidRPr="00FA1635" w:rsidRDefault="00FA1635" w:rsidP="00FA1635">
            <w:pPr>
              <w:spacing w:after="0" w:line="240" w:lineRule="auto"/>
              <w:ind w:left="69" w:right="13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4. Разработени учебни програми за разширената и допълнителната професионална подготовка.</w:t>
            </w:r>
          </w:p>
          <w:p w:rsidR="00FA1635" w:rsidRPr="00FA1635" w:rsidRDefault="00FA1635" w:rsidP="00FA1635">
            <w:pPr>
              <w:spacing w:after="0" w:line="240" w:lineRule="auto"/>
              <w:ind w:left="108" w:right="263" w:firstLine="5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5. Разработени учебни помагала за краткотрайни модули, надграждащи бързо променящите се изисквания на ИТ бизнеса.</w:t>
            </w:r>
          </w:p>
        </w:tc>
        <w:tc>
          <w:tcPr>
            <w:tcW w:w="2650" w:type="dxa"/>
            <w:tcBorders>
              <w:top w:val="single" w:sz="4" w:space="0" w:color="000000"/>
            </w:tcBorders>
            <w:shd w:val="clear" w:color="auto" w:fill="auto"/>
          </w:tcPr>
          <w:p w:rsidR="00FA1635" w:rsidRPr="00FA1635" w:rsidRDefault="00FA1635" w:rsidP="007B074A">
            <w:pPr>
              <w:spacing w:before="60" w:after="0" w:line="240" w:lineRule="auto"/>
              <w:ind w:left="115" w:right="14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 xml:space="preserve">Разработване и/или допълване и осъвременяване на учебно съдържание за учебен предмет или модул в сферата на ИТ, цифровите и високите технологии за разширената и допълнителната професионална подготовка (програмиране и </w:t>
            </w:r>
          </w:p>
          <w:p w:rsidR="00FA1635" w:rsidRPr="00FA1635" w:rsidRDefault="00FA1635" w:rsidP="00FA1635">
            <w:pPr>
              <w:spacing w:before="1" w:after="0" w:line="230" w:lineRule="exact"/>
              <w:ind w:left="108" w:right="14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програмни езици, обработка на големи данни, дигитален маркетинг и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 xml:space="preserve">предприемачество, изкуствен интелект, виртуална и добавена реалности и др.), свързани с придобиване или надграждане на дигитални компетентности в зависимост от изучаваната специалност от професия и/или разработване на учебни материали, ресурси, тестове и др. помагала за обучение на ученици и </w:t>
            </w:r>
            <w:r w:rsidRPr="007B074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учители по новите програми.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A1635" w:rsidRPr="00FA1635" w:rsidRDefault="00FA1635" w:rsidP="007B074A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МОН</w:t>
            </w:r>
          </w:p>
        </w:tc>
        <w:tc>
          <w:tcPr>
            <w:tcW w:w="1381" w:type="dxa"/>
            <w:tcBorders>
              <w:top w:val="single" w:sz="4" w:space="0" w:color="000000"/>
            </w:tcBorders>
            <w:shd w:val="clear" w:color="auto" w:fill="auto"/>
          </w:tcPr>
          <w:p w:rsidR="00510203" w:rsidRPr="00510203" w:rsidRDefault="00510203" w:rsidP="007B074A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 w:rsidRPr="00510203">
              <w:rPr>
                <w:sz w:val="20"/>
                <w:szCs w:val="20"/>
              </w:rPr>
              <w:t>Изпълнена за учебната 2021/2022 г.</w:t>
            </w:r>
          </w:p>
          <w:p w:rsidR="00FA1635" w:rsidRPr="00510203" w:rsidRDefault="00510203" w:rsidP="00510203">
            <w:pPr>
              <w:spacing w:after="0" w:line="211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Продължава</w:t>
            </w:r>
            <w:r w:rsidRPr="00510203">
              <w:rPr>
                <w:rFonts w:ascii="Times New Roman" w:hAnsi="Times New Roman" w:cs="Times New Roman"/>
                <w:sz w:val="20"/>
                <w:szCs w:val="20"/>
              </w:rPr>
              <w:t xml:space="preserve"> през учебната 2022/2023 г.</w:t>
            </w:r>
          </w:p>
        </w:tc>
      </w:tr>
      <w:tr w:rsidR="00FA1635" w:rsidRPr="00FA1635" w:rsidTr="00131355">
        <w:trPr>
          <w:trHeight w:val="2399"/>
        </w:trPr>
        <w:tc>
          <w:tcPr>
            <w:tcW w:w="183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5" w:rsidRPr="00FA1635" w:rsidRDefault="00FA1635" w:rsidP="00FA1635">
            <w:pPr>
              <w:spacing w:after="0" w:line="240" w:lineRule="auto"/>
              <w:ind w:left="94" w:right="-1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A1635" w:rsidRPr="00FA1635" w:rsidRDefault="00FA1635" w:rsidP="00F56C03">
            <w:pPr>
              <w:spacing w:before="60" w:after="0" w:line="240" w:lineRule="auto"/>
              <w:ind w:left="115" w:right="1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3.1. Въвеждане на нов учебен предмет в начален етап – компютърно моделиране и въвеждане на обучение в профил „Софтуерни и</w:t>
            </w:r>
          </w:p>
          <w:p w:rsidR="00FA1635" w:rsidRPr="00FA1635" w:rsidRDefault="00FA1635" w:rsidP="00FA1635">
            <w:pPr>
              <w:spacing w:after="0" w:line="230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хардуерни науки“.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A1635" w:rsidRPr="00FA1635" w:rsidRDefault="00FA1635" w:rsidP="00F56C03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bg-BG" w:eastAsia="bg-BG" w:bidi="bg-BG"/>
              </w:rPr>
              <w:t xml:space="preserve">Държавен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бюджет*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A1635" w:rsidRPr="00FA1635" w:rsidRDefault="00FA1635" w:rsidP="00F56C03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Поетапно</w:t>
            </w:r>
          </w:p>
          <w:p w:rsidR="00FA1635" w:rsidRPr="00FA1635" w:rsidRDefault="00FA1635" w:rsidP="00FA163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до учебната 2021/2022</w:t>
            </w:r>
          </w:p>
          <w:p w:rsidR="00FA1635" w:rsidRPr="00FA1635" w:rsidRDefault="00FA1635" w:rsidP="00FA1635">
            <w:pPr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година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A1635" w:rsidRPr="00FA1635" w:rsidRDefault="00FA1635" w:rsidP="00F56C03">
            <w:pPr>
              <w:spacing w:before="60" w:after="0" w:line="240" w:lineRule="auto"/>
              <w:ind w:left="115" w:right="86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Осигуряване на възможност за придобиване на знания, умения и отношения в областта на информационните технологии на учениците от най-ранна възраст до специализирано обучение в последните училищни класове. </w:t>
            </w:r>
            <w:r w:rsidRPr="00FA163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 училищното обучение са въведени учебни предмети за общообразователната подготовка в началния етап и за профилираната подготовка в гимназиалния етап, свързани с компютърното моделиране и информационните технологии, както и съответните учебни програми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A1635" w:rsidRPr="00FA1635" w:rsidRDefault="00FA1635" w:rsidP="00F56C03">
            <w:pPr>
              <w:spacing w:before="60"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Осигурени учебни програми по компютърно моделиране</w:t>
            </w:r>
          </w:p>
          <w:p w:rsidR="00FA1635" w:rsidRPr="00FA1635" w:rsidRDefault="00FA1635" w:rsidP="00FA1635">
            <w:pPr>
              <w:spacing w:after="0" w:line="240" w:lineRule="auto"/>
              <w:ind w:left="108" w:right="11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Осигурени учебни програми за обучение в профил „Софтуерни и хардуерни науки“.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A1635" w:rsidRPr="00FA1635" w:rsidRDefault="00FA1635" w:rsidP="00F56C03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МОН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A1635" w:rsidRPr="00FA1635" w:rsidRDefault="00FA1635" w:rsidP="00F56C03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изпълнена</w:t>
            </w:r>
          </w:p>
        </w:tc>
      </w:tr>
      <w:tr w:rsidR="00FA1635" w:rsidRPr="00FA1635" w:rsidTr="00131355">
        <w:trPr>
          <w:trHeight w:val="1596"/>
        </w:trPr>
        <w:tc>
          <w:tcPr>
            <w:tcW w:w="1833" w:type="dxa"/>
            <w:vMerge/>
            <w:tcBorders>
              <w:top w:val="single" w:sz="4" w:space="0" w:color="000000"/>
            </w:tcBorders>
          </w:tcPr>
          <w:p w:rsidR="00FA1635" w:rsidRPr="00FA1635" w:rsidRDefault="00FA1635" w:rsidP="00FA1635">
            <w:pPr>
              <w:spacing w:after="0" w:line="240" w:lineRule="auto"/>
              <w:ind w:left="94" w:right="-1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</w:tcBorders>
            <w:shd w:val="clear" w:color="auto" w:fill="CCFFFF"/>
          </w:tcPr>
          <w:p w:rsidR="00FA1635" w:rsidRPr="00FA1635" w:rsidRDefault="00FA1635" w:rsidP="00FA1635">
            <w:pPr>
              <w:spacing w:after="0" w:line="240" w:lineRule="auto"/>
              <w:ind w:left="108" w:right="1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</w:p>
          <w:p w:rsidR="00FA1635" w:rsidRPr="00FA1635" w:rsidRDefault="00FA1635" w:rsidP="00FA1635">
            <w:pPr>
              <w:spacing w:after="0" w:line="240" w:lineRule="auto"/>
              <w:ind w:left="108" w:right="1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 xml:space="preserve">3.2. Замяна на учебния предмет “Информационни технологии” за V, VI и VII клас като “ “Компютърно моделиране и информационни технологии” </w:t>
            </w:r>
          </w:p>
          <w:p w:rsidR="00FA1635" w:rsidRPr="00FA1635" w:rsidRDefault="00FA1635" w:rsidP="00FA1635">
            <w:pPr>
              <w:spacing w:after="0" w:line="240" w:lineRule="auto"/>
              <w:ind w:left="108" w:right="16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</w:tcBorders>
            <w:shd w:val="clear" w:color="auto" w:fill="CCFFFF"/>
          </w:tcPr>
          <w:p w:rsidR="00FA1635" w:rsidRPr="00FA1635" w:rsidRDefault="00FA1635" w:rsidP="00FA163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bg-BG" w:eastAsia="bg-BG" w:bidi="bg-BG"/>
              </w:rPr>
            </w:pPr>
          </w:p>
          <w:p w:rsidR="00FA1635" w:rsidRPr="00FA1635" w:rsidRDefault="00FA1635" w:rsidP="00FA163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bg-BG" w:eastAsia="bg-BG" w:bidi="bg-BG"/>
              </w:rPr>
              <w:t xml:space="preserve">Държавен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бюджет*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</w:tcBorders>
            <w:shd w:val="clear" w:color="auto" w:fill="CCFFFF"/>
          </w:tcPr>
          <w:p w:rsidR="00FA1635" w:rsidRPr="00FA1635" w:rsidRDefault="00FA1635" w:rsidP="00FA1635">
            <w:pPr>
              <w:spacing w:after="0" w:line="240" w:lineRule="auto"/>
              <w:ind w:left="108" w:right="16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FA1635" w:rsidRPr="00FA1635" w:rsidRDefault="00FA1635" w:rsidP="00FA1635">
            <w:pPr>
              <w:spacing w:after="0" w:line="240" w:lineRule="auto"/>
              <w:ind w:left="108" w:right="16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Изменените учебни програми започват да се прилагат поетапно от учебната 2021-2022 година</w:t>
            </w:r>
          </w:p>
          <w:p w:rsidR="00FA1635" w:rsidRPr="00FA1635" w:rsidRDefault="00FA1635" w:rsidP="00FA1635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</w:tcBorders>
            <w:shd w:val="clear" w:color="auto" w:fill="CCFFFF"/>
          </w:tcPr>
          <w:p w:rsidR="00FA1635" w:rsidRPr="00FA1635" w:rsidRDefault="00FA1635" w:rsidP="00FA1635">
            <w:pPr>
              <w:spacing w:after="0" w:line="240" w:lineRule="auto"/>
              <w:ind w:left="108" w:right="93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FA1635" w:rsidRPr="00FA1635" w:rsidRDefault="00FA1635" w:rsidP="00FA1635">
            <w:pPr>
              <w:spacing w:after="0" w:line="240" w:lineRule="auto"/>
              <w:ind w:left="108" w:right="93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Променена е философията на учебния предмета и в тази връзка са утвърдени нови учебни програми</w:t>
            </w:r>
          </w:p>
        </w:tc>
        <w:tc>
          <w:tcPr>
            <w:tcW w:w="2650" w:type="dxa"/>
            <w:tcBorders>
              <w:top w:val="single" w:sz="4" w:space="0" w:color="000000"/>
            </w:tcBorders>
            <w:shd w:val="clear" w:color="auto" w:fill="CCFFFF"/>
          </w:tcPr>
          <w:p w:rsidR="00FA1635" w:rsidRPr="00FA1635" w:rsidRDefault="00FA1635" w:rsidP="00FA1635">
            <w:pP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lang w:val="bg-BG" w:eastAsia="bg-BG" w:bidi="bg-BG"/>
              </w:rPr>
            </w:pPr>
          </w:p>
          <w:p w:rsidR="00FA1635" w:rsidRPr="00FA1635" w:rsidRDefault="00FA1635" w:rsidP="00FA1635">
            <w:pPr>
              <w:spacing w:after="0" w:line="240" w:lineRule="auto"/>
              <w:ind w:left="108" w:right="14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lang w:val="bg-BG" w:eastAsia="bg-BG" w:bidi="bg-BG"/>
              </w:rPr>
              <w:t xml:space="preserve">От учебната 2020-2021 г. е въведен учебен предмет компютърно моделиране и информационни технологии на мястото на учебния предмет информационни технологии в 5., 6. и 7. , като задължителните учебни часове за изучаването му са увеличени от 1 час на 1,5 часа седмично. Учебното съдържание по учебен предмет компютърно моделиране и информационни технологии допълва учебното съдържание на изучавания учебен предмет информационни технологии като и в трите учебни програми е въведена нова тема – Компютърно моделиране,  чрез която се постига надграждане на знанията и компетентностите, придобити от учениците по компютърно </w:t>
            </w:r>
            <w:r w:rsidRPr="00FA1635">
              <w:rPr>
                <w:rFonts w:ascii="Times New Roman" w:eastAsia="Times New Roman" w:hAnsi="Times New Roman" w:cs="Times New Roman"/>
                <w:lang w:val="bg-BG" w:eastAsia="bg-BG" w:bidi="bg-BG"/>
              </w:rPr>
              <w:lastRenderedPageBreak/>
              <w:t>моделиране в 3. и 4. клас. В темата Компютърно моделиране в 5. клас се надграждат знанията и уменията на учениците по изучаван блоков език за програмиране (</w:t>
            </w:r>
            <w:proofErr w:type="spellStart"/>
            <w:r w:rsidRPr="00FA1635">
              <w:rPr>
                <w:rFonts w:ascii="Times New Roman" w:eastAsia="Times New Roman" w:hAnsi="Times New Roman" w:cs="Times New Roman"/>
                <w:lang w:val="bg-BG" w:eastAsia="bg-BG" w:bidi="bg-BG"/>
              </w:rPr>
              <w:t>Скрач</w:t>
            </w:r>
            <w:proofErr w:type="spellEnd"/>
            <w:r w:rsidRPr="00FA1635">
              <w:rPr>
                <w:rFonts w:ascii="Times New Roman" w:eastAsia="Times New Roman" w:hAnsi="Times New Roman" w:cs="Times New Roman"/>
                <w:lang w:val="bg-BG" w:eastAsia="bg-BG" w:bidi="bg-BG"/>
              </w:rPr>
              <w:t xml:space="preserve">, </w:t>
            </w:r>
            <w:proofErr w:type="spellStart"/>
            <w:r w:rsidRPr="00FA1635">
              <w:rPr>
                <w:rFonts w:ascii="Times New Roman" w:eastAsia="Times New Roman" w:hAnsi="Times New Roman" w:cs="Times New Roman"/>
                <w:lang w:val="bg-BG" w:eastAsia="bg-BG" w:bidi="bg-BG"/>
              </w:rPr>
              <w:t>Коду</w:t>
            </w:r>
            <w:proofErr w:type="spellEnd"/>
            <w:r w:rsidRPr="00FA1635">
              <w:rPr>
                <w:rFonts w:ascii="Times New Roman" w:eastAsia="Times New Roman" w:hAnsi="Times New Roman" w:cs="Times New Roman"/>
                <w:lang w:val="bg-BG" w:eastAsia="bg-BG" w:bidi="bg-BG"/>
              </w:rPr>
              <w:t>), а в 6. и 7. клас се преминава от език с блоково програмиране към скриптов текстов език (</w:t>
            </w:r>
            <w:proofErr w:type="spellStart"/>
            <w:r w:rsidRPr="00FA1635">
              <w:rPr>
                <w:rFonts w:ascii="Times New Roman" w:eastAsia="Times New Roman" w:hAnsi="Times New Roman" w:cs="Times New Roman"/>
                <w:lang w:val="bg-BG" w:eastAsia="bg-BG" w:bidi="bg-BG"/>
              </w:rPr>
              <w:t>Python</w:t>
            </w:r>
            <w:proofErr w:type="spellEnd"/>
            <w:r w:rsidRPr="00FA1635">
              <w:rPr>
                <w:rFonts w:ascii="Times New Roman" w:eastAsia="Times New Roman" w:hAnsi="Times New Roman" w:cs="Times New Roman"/>
                <w:lang w:val="bg-BG" w:eastAsia="bg-BG" w:bidi="bg-BG"/>
              </w:rPr>
              <w:t xml:space="preserve">, </w:t>
            </w:r>
            <w:proofErr w:type="spellStart"/>
            <w:r w:rsidRPr="00FA1635">
              <w:rPr>
                <w:rFonts w:ascii="Times New Roman" w:eastAsia="Times New Roman" w:hAnsi="Times New Roman" w:cs="Times New Roman"/>
                <w:lang w:val="bg-BG" w:eastAsia="bg-BG" w:bidi="bg-BG"/>
              </w:rPr>
              <w:t>JavaScript</w:t>
            </w:r>
            <w:proofErr w:type="spellEnd"/>
            <w:r w:rsidRPr="00FA1635">
              <w:rPr>
                <w:rFonts w:ascii="Times New Roman" w:eastAsia="Times New Roman" w:hAnsi="Times New Roman" w:cs="Times New Roman"/>
                <w:lang w:val="bg-BG" w:eastAsia="bg-BG" w:bidi="bg-BG"/>
              </w:rPr>
              <w:t xml:space="preserve"> и др.).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</w:tcBorders>
            <w:shd w:val="clear" w:color="auto" w:fill="CCFFFF"/>
          </w:tcPr>
          <w:p w:rsidR="00FA1635" w:rsidRPr="00FA1635" w:rsidRDefault="00FA1635" w:rsidP="00FA163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FA1635" w:rsidRPr="00FA1635" w:rsidRDefault="00FA1635" w:rsidP="00FA163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МОН</w:t>
            </w:r>
          </w:p>
        </w:tc>
        <w:tc>
          <w:tcPr>
            <w:tcW w:w="1381" w:type="dxa"/>
            <w:tcBorders>
              <w:top w:val="single" w:sz="4" w:space="0" w:color="000000"/>
            </w:tcBorders>
            <w:shd w:val="clear" w:color="auto" w:fill="CCFFFF"/>
          </w:tcPr>
          <w:p w:rsidR="00FA1635" w:rsidRPr="00FA1635" w:rsidRDefault="00FA1635" w:rsidP="00FA1635">
            <w:pPr>
              <w:spacing w:after="0" w:line="211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FA1635" w:rsidRPr="00FA1635" w:rsidRDefault="00FA1635" w:rsidP="00FA1635">
            <w:pPr>
              <w:spacing w:after="0" w:line="211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изпълнена</w:t>
            </w:r>
          </w:p>
        </w:tc>
      </w:tr>
      <w:tr w:rsidR="00FA1635" w:rsidRPr="00FA1635" w:rsidTr="00131355">
        <w:trPr>
          <w:trHeight w:val="2399"/>
        </w:trPr>
        <w:tc>
          <w:tcPr>
            <w:tcW w:w="1833" w:type="dxa"/>
            <w:vMerge/>
          </w:tcPr>
          <w:p w:rsidR="00FA1635" w:rsidRPr="00FA1635" w:rsidRDefault="00FA1635" w:rsidP="00FA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126" w:type="dxa"/>
            <w:gridSpan w:val="2"/>
            <w:shd w:val="clear" w:color="auto" w:fill="CCFFFF"/>
          </w:tcPr>
          <w:p w:rsidR="00FA1635" w:rsidRPr="00FA1635" w:rsidRDefault="00FA1635" w:rsidP="00FA1635">
            <w:pPr>
              <w:spacing w:after="0" w:line="240" w:lineRule="auto"/>
              <w:ind w:left="108" w:right="1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</w:p>
          <w:p w:rsidR="00FA1635" w:rsidRPr="00FA1635" w:rsidRDefault="00FA1635" w:rsidP="00FA1635">
            <w:pPr>
              <w:spacing w:after="0" w:line="240" w:lineRule="auto"/>
              <w:ind w:left="108" w:right="1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3.3. Въвеждане на профилирано обучение по профил „Софтуерни и хардуерни науки“.</w:t>
            </w:r>
          </w:p>
        </w:tc>
        <w:tc>
          <w:tcPr>
            <w:tcW w:w="1867" w:type="dxa"/>
            <w:gridSpan w:val="2"/>
            <w:shd w:val="clear" w:color="auto" w:fill="CCFFFF"/>
          </w:tcPr>
          <w:p w:rsidR="00FA1635" w:rsidRPr="00FA1635" w:rsidRDefault="00FA1635" w:rsidP="00FA163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bg-BG" w:eastAsia="bg-BG" w:bidi="bg-BG"/>
              </w:rPr>
            </w:pPr>
          </w:p>
          <w:p w:rsidR="00FA1635" w:rsidRPr="00FA1635" w:rsidRDefault="00FA1635" w:rsidP="00FA163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bg-BG" w:eastAsia="bg-BG" w:bidi="bg-BG"/>
              </w:rPr>
              <w:t xml:space="preserve">Държавен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бюджет*</w:t>
            </w:r>
          </w:p>
        </w:tc>
        <w:tc>
          <w:tcPr>
            <w:tcW w:w="1530" w:type="dxa"/>
            <w:gridSpan w:val="2"/>
            <w:shd w:val="clear" w:color="auto" w:fill="CCFFFF"/>
          </w:tcPr>
          <w:p w:rsidR="00FA1635" w:rsidRPr="00FA1635" w:rsidRDefault="00FA1635" w:rsidP="00FA1635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FA1635" w:rsidRPr="00FA1635" w:rsidRDefault="00FA1635" w:rsidP="00FA163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bg-BG" w:eastAsia="bg-BG" w:bidi="bg-BG"/>
              </w:rPr>
              <w:t xml:space="preserve">Програмите за профилирано обучение се въвеждат за учениците, които през учебната 2020-2021 година постъпват в ХІ и през учебната 2021-2022 година постъпват в ХІI клас </w:t>
            </w:r>
          </w:p>
        </w:tc>
        <w:tc>
          <w:tcPr>
            <w:tcW w:w="2840" w:type="dxa"/>
            <w:gridSpan w:val="2"/>
            <w:shd w:val="clear" w:color="auto" w:fill="CCFFFF"/>
          </w:tcPr>
          <w:p w:rsidR="00FA1635" w:rsidRPr="00FA1635" w:rsidRDefault="00FA1635" w:rsidP="00FA1635">
            <w:pPr>
              <w:spacing w:after="0" w:line="240" w:lineRule="auto"/>
              <w:ind w:left="108" w:right="93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FA1635" w:rsidRPr="00FA1635" w:rsidRDefault="00FA1635" w:rsidP="00FA1635">
            <w:pPr>
              <w:spacing w:after="0" w:line="240" w:lineRule="auto"/>
              <w:ind w:left="108" w:right="93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Променена е философията на учебния предмета и в тази връзка са утвърдени нови учебни програми</w:t>
            </w:r>
          </w:p>
        </w:tc>
        <w:tc>
          <w:tcPr>
            <w:tcW w:w="2650" w:type="dxa"/>
            <w:shd w:val="clear" w:color="auto" w:fill="CCFFFF"/>
          </w:tcPr>
          <w:p w:rsidR="00FA1635" w:rsidRPr="00FA1635" w:rsidRDefault="00FA1635" w:rsidP="00FA1635">
            <w:pPr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FA1635" w:rsidRPr="00FA1635" w:rsidRDefault="00FA1635" w:rsidP="00FA1635">
            <w:pPr>
              <w:spacing w:before="1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Разработени са изискванията за съдържанието на профила в ДОС за профилираната подготовка и са Осигурени учебни програми за обучение в профил „Софтуерни и хардуерни науки“.</w:t>
            </w:r>
          </w:p>
        </w:tc>
        <w:tc>
          <w:tcPr>
            <w:tcW w:w="1319" w:type="dxa"/>
            <w:gridSpan w:val="2"/>
            <w:shd w:val="clear" w:color="auto" w:fill="CCFFFF"/>
          </w:tcPr>
          <w:p w:rsidR="00FA1635" w:rsidRPr="00FA1635" w:rsidRDefault="00FA1635" w:rsidP="00FA163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FA1635" w:rsidRPr="00FA1635" w:rsidRDefault="00FA1635" w:rsidP="00FA163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МОН</w:t>
            </w:r>
          </w:p>
        </w:tc>
        <w:tc>
          <w:tcPr>
            <w:tcW w:w="1381" w:type="dxa"/>
            <w:shd w:val="clear" w:color="auto" w:fill="CCFFFF"/>
          </w:tcPr>
          <w:p w:rsidR="00FA1635" w:rsidRPr="00FA1635" w:rsidRDefault="00FA1635" w:rsidP="00FA1635">
            <w:pPr>
              <w:spacing w:after="0" w:line="211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FA1635" w:rsidRPr="00FA1635" w:rsidRDefault="00FA1635" w:rsidP="00FA1635">
            <w:pPr>
              <w:spacing w:after="0" w:line="211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изпълнена</w:t>
            </w:r>
          </w:p>
        </w:tc>
      </w:tr>
      <w:tr w:rsidR="00FA1635" w:rsidRPr="00FA1635" w:rsidTr="00131355">
        <w:trPr>
          <w:trHeight w:val="1781"/>
        </w:trPr>
        <w:tc>
          <w:tcPr>
            <w:tcW w:w="183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A1635" w:rsidRPr="00FA1635" w:rsidRDefault="00FA1635" w:rsidP="00FA1635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>Цел 6.</w:t>
            </w:r>
            <w:r w:rsidRPr="00FA1635"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Модернизиране на училищното</w:t>
            </w:r>
            <w:r w:rsidRPr="00FA163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и висшето образование в областта на информационните </w:t>
            </w:r>
          </w:p>
          <w:p w:rsidR="00FA1635" w:rsidRPr="00FA1635" w:rsidRDefault="00FA1635" w:rsidP="00FA1635">
            <w:pPr>
              <w:spacing w:after="0" w:line="240" w:lineRule="auto"/>
              <w:ind w:left="94" w:right="-1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115" w:type="dxa"/>
            <w:tcBorders>
              <w:top w:val="nil"/>
            </w:tcBorders>
            <w:shd w:val="clear" w:color="auto" w:fill="auto"/>
          </w:tcPr>
          <w:p w:rsidR="00FA1635" w:rsidRPr="00FA1635" w:rsidRDefault="00FA1635" w:rsidP="00FA1635">
            <w:pPr>
              <w:spacing w:after="0" w:line="240" w:lineRule="auto"/>
              <w:ind w:left="108" w:right="13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4. Подобряване на уменията на учителите</w:t>
            </w:r>
          </w:p>
        </w:tc>
        <w:tc>
          <w:tcPr>
            <w:tcW w:w="18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1635" w:rsidRPr="00FA1635" w:rsidRDefault="00FA1635" w:rsidP="00FA1635">
            <w:pPr>
              <w:spacing w:after="0" w:line="240" w:lineRule="auto"/>
              <w:ind w:left="108" w:right="25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НП „Обучение за ИТ умения и кариера“</w:t>
            </w:r>
          </w:p>
          <w:p w:rsidR="00FA1635" w:rsidRPr="00FA1635" w:rsidRDefault="00FA1635" w:rsidP="00FA1635">
            <w:pPr>
              <w:spacing w:after="0" w:line="240" w:lineRule="auto"/>
              <w:ind w:left="108" w:right="25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– Модул 1 „Обучение за ИТ кариера“</w:t>
            </w:r>
          </w:p>
          <w:p w:rsidR="00FA1635" w:rsidRPr="00FA1635" w:rsidRDefault="00FA1635" w:rsidP="00FA1635">
            <w:pPr>
              <w:spacing w:after="0" w:line="240" w:lineRule="auto"/>
              <w:ind w:left="108" w:right="25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– Модул 2 „ИТ умения за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1635" w:rsidRPr="00FA1635" w:rsidRDefault="00D57A54" w:rsidP="00FA1635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2021 – 2023</w:t>
            </w:r>
            <w:r w:rsidR="00FA1635"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учебна година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1635" w:rsidRPr="00FA1635" w:rsidRDefault="00FA1635" w:rsidP="00FA1635">
            <w:pPr>
              <w:spacing w:after="0" w:line="240" w:lineRule="auto"/>
              <w:ind w:left="108" w:right="25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Изграден капацитет за съвременно софтуерно образование и обучение по високи ИТ и други технологии чрез партньорство с университети и с ИТ бизнеса.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D57A54" w:rsidRPr="00D57A54" w:rsidRDefault="00D57A54" w:rsidP="00D57A54">
            <w:pPr>
              <w:spacing w:after="0" w:line="240" w:lineRule="auto"/>
              <w:ind w:left="108" w:right="36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D57A5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Модул 1</w:t>
            </w:r>
          </w:p>
          <w:p w:rsidR="00D57A54" w:rsidRPr="00D57A54" w:rsidRDefault="00D57A54" w:rsidP="00D57A54">
            <w:pPr>
              <w:spacing w:after="0" w:line="240" w:lineRule="auto"/>
              <w:ind w:left="108" w:right="36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D57A5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1. Поддържа се онлайн платформа за предоставяне на учебно съдържание и ресурси и за комуникация между учители и ученици.</w:t>
            </w:r>
          </w:p>
          <w:p w:rsidR="00D57A54" w:rsidRPr="00D57A54" w:rsidRDefault="00D57A54" w:rsidP="00D57A54">
            <w:pPr>
              <w:spacing w:after="0" w:line="240" w:lineRule="auto"/>
              <w:ind w:left="108" w:right="36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D57A5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2. Осъществява се активно взаимодействие между центровете, администраторите на платформата, преподаватели от ВУ и училища.</w:t>
            </w:r>
          </w:p>
          <w:p w:rsidR="00D57A54" w:rsidRPr="00D57A54" w:rsidRDefault="00D57A54" w:rsidP="00D57A54">
            <w:pPr>
              <w:spacing w:after="0" w:line="240" w:lineRule="auto"/>
              <w:ind w:left="108" w:right="36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D57A5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3. За учебната 2021/2022 г. са надградени компетентностите на 50 обучени учители.</w:t>
            </w:r>
          </w:p>
          <w:p w:rsidR="00D57A54" w:rsidRPr="00D57A54" w:rsidRDefault="00D57A54" w:rsidP="00D57A54">
            <w:pPr>
              <w:spacing w:after="0" w:line="240" w:lineRule="auto"/>
              <w:ind w:left="108" w:right="36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D57A5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Модул 2</w:t>
            </w:r>
          </w:p>
          <w:p w:rsidR="00FA1635" w:rsidRPr="00FA1635" w:rsidRDefault="00D57A54" w:rsidP="00D57A54">
            <w:pPr>
              <w:spacing w:after="0" w:line="240" w:lineRule="auto"/>
              <w:ind w:left="108" w:right="36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D57A5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36 учители са преминали обучение за преподаване на новото или допълнено учебно съдържание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1635" w:rsidRPr="00FA1635" w:rsidRDefault="00FA1635" w:rsidP="00FA163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МОН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D57A54" w:rsidRPr="00D57A54" w:rsidRDefault="00D57A54" w:rsidP="00D57A54">
            <w:pPr>
              <w:spacing w:after="0" w:line="211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Н</w:t>
            </w:r>
            <w:r w:rsidRPr="00D57A5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ов</w:t>
            </w:r>
          </w:p>
          <w:p w:rsidR="00D57A54" w:rsidRPr="00D57A54" w:rsidRDefault="00D57A54" w:rsidP="00D57A54">
            <w:pPr>
              <w:spacing w:after="0" w:line="211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D57A5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Изпълнена за учебната 2021/20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22 г.,</w:t>
            </w:r>
          </w:p>
          <w:p w:rsidR="00FA1635" w:rsidRPr="00FA1635" w:rsidRDefault="00D57A54" w:rsidP="00D57A54">
            <w:pPr>
              <w:spacing w:after="0" w:line="211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Продължава</w:t>
            </w:r>
            <w:r w:rsidRPr="00D57A5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през учебната 2022/2023 г.</w:t>
            </w:r>
          </w:p>
        </w:tc>
      </w:tr>
      <w:tr w:rsidR="00FA1635" w:rsidRPr="00FA1635" w:rsidTr="00131355">
        <w:trPr>
          <w:trHeight w:val="81"/>
        </w:trPr>
        <w:tc>
          <w:tcPr>
            <w:tcW w:w="1833" w:type="dxa"/>
            <w:vMerge/>
            <w:shd w:val="clear" w:color="auto" w:fill="auto"/>
          </w:tcPr>
          <w:p w:rsidR="00FA1635" w:rsidRPr="00FA1635" w:rsidRDefault="00FA1635" w:rsidP="00FA1635">
            <w:pPr>
              <w:spacing w:after="0" w:line="240" w:lineRule="auto"/>
              <w:ind w:left="94" w:right="-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115" w:type="dxa"/>
            <w:tcBorders>
              <w:bottom w:val="single" w:sz="4" w:space="0" w:color="000000"/>
            </w:tcBorders>
            <w:shd w:val="clear" w:color="auto" w:fill="CCFFFF"/>
          </w:tcPr>
          <w:p w:rsidR="00FA1635" w:rsidRPr="00FA1635" w:rsidRDefault="00FA1635" w:rsidP="00FA1635">
            <w:pPr>
              <w:spacing w:after="0" w:line="240" w:lineRule="auto"/>
              <w:ind w:left="108" w:right="13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4</w:t>
            </w:r>
            <w:r w:rsidR="00D57A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а</w:t>
            </w:r>
            <w:r w:rsidRPr="00FA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. Подобряване на уменията на учителите</w:t>
            </w:r>
          </w:p>
        </w:tc>
        <w:tc>
          <w:tcPr>
            <w:tcW w:w="1878" w:type="dxa"/>
            <w:gridSpan w:val="3"/>
            <w:shd w:val="clear" w:color="auto" w:fill="CCFFFF"/>
          </w:tcPr>
          <w:p w:rsidR="00FA1635" w:rsidRPr="00FA1635" w:rsidRDefault="00FA1635" w:rsidP="00D57A54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Национална програма</w:t>
            </w:r>
          </w:p>
          <w:p w:rsidR="00FA1635" w:rsidRPr="00FA1635" w:rsidRDefault="00FA1635" w:rsidP="00D57A54">
            <w:pPr>
              <w:spacing w:after="0" w:line="240" w:lineRule="auto"/>
              <w:ind w:left="144" w:right="144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„Обучение за ИТ кариера“</w:t>
            </w:r>
          </w:p>
        </w:tc>
        <w:tc>
          <w:tcPr>
            <w:tcW w:w="1530" w:type="dxa"/>
            <w:gridSpan w:val="2"/>
            <w:shd w:val="clear" w:color="auto" w:fill="CCFFFF"/>
          </w:tcPr>
          <w:p w:rsidR="00FA1635" w:rsidRPr="00FA1635" w:rsidRDefault="00FA1635" w:rsidP="00FA1635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2017- 2020</w:t>
            </w:r>
          </w:p>
        </w:tc>
        <w:tc>
          <w:tcPr>
            <w:tcW w:w="2840" w:type="dxa"/>
            <w:gridSpan w:val="2"/>
            <w:shd w:val="clear" w:color="auto" w:fill="CCFFFF"/>
          </w:tcPr>
          <w:p w:rsidR="00FA1635" w:rsidRPr="00FA1635" w:rsidRDefault="00FA1635" w:rsidP="00D57A54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Изграждане на капацитет в професионалните гимназии за съвременно софтуерно обучение по професиите от професионално направление „Компютърни науки“ – „Програмист“, „Системен програмист“ и „Приложен програмист“.</w:t>
            </w:r>
          </w:p>
        </w:tc>
        <w:tc>
          <w:tcPr>
            <w:tcW w:w="2650" w:type="dxa"/>
            <w:shd w:val="clear" w:color="auto" w:fill="CCFFFF"/>
          </w:tcPr>
          <w:p w:rsidR="00D57A54" w:rsidRPr="00D57A54" w:rsidRDefault="00D57A54" w:rsidP="00D57A54">
            <w:pPr>
              <w:spacing w:after="0" w:line="240" w:lineRule="auto"/>
              <w:ind w:left="108" w:right="16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D57A5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Поддръжка на онлайн платформа за предоставяне на учебно съдържание и тестови задачи и за комуникация между учители и ученици. Благодарение на доброто администриране на платформата не е допуснато прекъсване на обучението в условия на епидемична обстановка. Осигурена е възможност за </w:t>
            </w:r>
            <w:r w:rsidRPr="00D57A5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 xml:space="preserve">допълнително трето явяване на входящ тест за учениците от 10 клас. Осъществява се активно взаимодействие между центровете, администраторите на платформата, преподаватели от ВУ и училища. </w:t>
            </w:r>
          </w:p>
          <w:p w:rsidR="00FA1635" w:rsidRPr="00FA1635" w:rsidRDefault="00D57A54" w:rsidP="00D57A54">
            <w:pPr>
              <w:spacing w:after="0" w:line="240" w:lineRule="auto"/>
              <w:ind w:left="108" w:right="36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D57A54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Осъществено обучение и консултации на 40 учители,  всички разработени учебни ресурси и  материали са достъпни за учители и ученици.</w:t>
            </w:r>
          </w:p>
        </w:tc>
        <w:tc>
          <w:tcPr>
            <w:tcW w:w="1319" w:type="dxa"/>
            <w:gridSpan w:val="2"/>
            <w:shd w:val="clear" w:color="auto" w:fill="CCFFFF"/>
          </w:tcPr>
          <w:p w:rsidR="00FA1635" w:rsidRPr="00FA1635" w:rsidRDefault="00FA1635" w:rsidP="00FA163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lastRenderedPageBreak/>
              <w:t>МОН</w:t>
            </w:r>
          </w:p>
        </w:tc>
        <w:tc>
          <w:tcPr>
            <w:tcW w:w="1381" w:type="dxa"/>
            <w:shd w:val="clear" w:color="auto" w:fill="CCFFFF"/>
          </w:tcPr>
          <w:p w:rsidR="00FA1635" w:rsidRPr="00FA1635" w:rsidRDefault="00FA1635" w:rsidP="00FA1635">
            <w:pPr>
              <w:spacing w:after="0" w:line="211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изпълнена</w:t>
            </w:r>
          </w:p>
        </w:tc>
      </w:tr>
      <w:tr w:rsidR="006A3BB6" w:rsidRPr="00FA1635" w:rsidTr="00131355">
        <w:trPr>
          <w:trHeight w:val="81"/>
        </w:trPr>
        <w:tc>
          <w:tcPr>
            <w:tcW w:w="1833" w:type="dxa"/>
            <w:shd w:val="clear" w:color="auto" w:fill="auto"/>
          </w:tcPr>
          <w:p w:rsidR="006A3BB6" w:rsidRPr="00FA1635" w:rsidRDefault="006A3BB6" w:rsidP="00FA1635">
            <w:pPr>
              <w:spacing w:after="0" w:line="240" w:lineRule="auto"/>
              <w:ind w:left="94" w:right="-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6A3B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 xml:space="preserve">Цел 6. Модернизиране на училищното и висшето образование в областта на </w:t>
            </w:r>
            <w:r w:rsidR="00A91AF3" w:rsidRPr="006A3B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информационните</w:t>
            </w:r>
            <w:r w:rsidRPr="006A3B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 и комуникационни технологии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  <w:shd w:val="clear" w:color="auto" w:fill="CCFFFF"/>
          </w:tcPr>
          <w:p w:rsidR="006A3BB6" w:rsidRPr="006A3BB6" w:rsidRDefault="006A3BB6" w:rsidP="006A3BB6">
            <w:pPr>
              <w:spacing w:after="0" w:line="240" w:lineRule="auto"/>
              <w:ind w:left="108" w:right="13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5</w:t>
            </w:r>
            <w:r w:rsidRPr="006A3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. Засилване на</w:t>
            </w:r>
          </w:p>
          <w:p w:rsidR="006A3BB6" w:rsidRPr="00FA1635" w:rsidRDefault="006A3BB6" w:rsidP="006A3BB6">
            <w:pPr>
              <w:spacing w:after="0" w:line="240" w:lineRule="auto"/>
              <w:ind w:left="108" w:right="13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6A3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сътрудничеството между образование и индустрия –нова.</w:t>
            </w:r>
          </w:p>
        </w:tc>
        <w:tc>
          <w:tcPr>
            <w:tcW w:w="1878" w:type="dxa"/>
            <w:gridSpan w:val="3"/>
            <w:shd w:val="clear" w:color="auto" w:fill="CCFFFF"/>
          </w:tcPr>
          <w:p w:rsidR="006A3BB6" w:rsidRPr="00FA1635" w:rsidRDefault="006A3BB6" w:rsidP="006A3BB6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Национална програма</w:t>
            </w:r>
          </w:p>
          <w:p w:rsidR="006A3BB6" w:rsidRPr="00FA1635" w:rsidRDefault="006A3BB6" w:rsidP="006A3BB6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„Обучение за ИТ кариера“</w:t>
            </w:r>
          </w:p>
        </w:tc>
        <w:tc>
          <w:tcPr>
            <w:tcW w:w="1530" w:type="dxa"/>
            <w:gridSpan w:val="2"/>
            <w:shd w:val="clear" w:color="auto" w:fill="CCFFFF"/>
          </w:tcPr>
          <w:p w:rsidR="006A3BB6" w:rsidRPr="00FA1635" w:rsidRDefault="006A3BB6" w:rsidP="00FA1635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2017-2020</w:t>
            </w:r>
          </w:p>
        </w:tc>
        <w:tc>
          <w:tcPr>
            <w:tcW w:w="2840" w:type="dxa"/>
            <w:gridSpan w:val="2"/>
            <w:shd w:val="clear" w:color="auto" w:fill="CCFFFF"/>
          </w:tcPr>
          <w:p w:rsidR="006A3BB6" w:rsidRPr="00FA1635" w:rsidRDefault="006A3BB6" w:rsidP="00D57A54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6A3BB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Провеждане на обучение по професиите „Програмист“, „Системен програмист“ и  „Приложен програмист“ по Държавни образователни стандарти и учебни програми и планове, разработени от бизнеса, в съответствие с неговите потребности. Учениците още в XII клас ще бъдат подготвени да започнат работа в софтуерни компании, което е в съответствие със заложеното в Концепцията за насърчаване обучението на софтуерни специалисти</w:t>
            </w:r>
          </w:p>
        </w:tc>
        <w:tc>
          <w:tcPr>
            <w:tcW w:w="2650" w:type="dxa"/>
            <w:shd w:val="clear" w:color="auto" w:fill="CCFFFF"/>
          </w:tcPr>
          <w:p w:rsidR="006A3BB6" w:rsidRPr="006A3BB6" w:rsidRDefault="006A3BB6" w:rsidP="006A3BB6">
            <w:pPr>
              <w:spacing w:after="0" w:line="240" w:lineRule="auto"/>
              <w:ind w:left="108" w:right="16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6A3BB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Изградени пет центъра за софтуерно обучение, ситуирани към професионални гимназии и реализирани чрез балансирано партньорство на професионална гимназия, висше училище и ИТ сектора. Обновени са учебни материали по няколко модули и е постигнато е по високо качество на преподаване, усвояване на знания и формиране на учения.</w:t>
            </w:r>
          </w:p>
          <w:p w:rsidR="006A3BB6" w:rsidRPr="00D57A54" w:rsidRDefault="006A3BB6" w:rsidP="006A3BB6">
            <w:pPr>
              <w:spacing w:after="0" w:line="240" w:lineRule="auto"/>
              <w:ind w:left="108" w:right="16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6A3BB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Разработени нови учебни материали по четири модула.</w:t>
            </w:r>
          </w:p>
        </w:tc>
        <w:tc>
          <w:tcPr>
            <w:tcW w:w="1319" w:type="dxa"/>
            <w:gridSpan w:val="2"/>
            <w:shd w:val="clear" w:color="auto" w:fill="CCFFFF"/>
          </w:tcPr>
          <w:p w:rsidR="006A3BB6" w:rsidRPr="00FA1635" w:rsidRDefault="006A3BB6" w:rsidP="00FA163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МОН</w:t>
            </w:r>
          </w:p>
        </w:tc>
        <w:tc>
          <w:tcPr>
            <w:tcW w:w="1381" w:type="dxa"/>
            <w:shd w:val="clear" w:color="auto" w:fill="CCFFFF"/>
          </w:tcPr>
          <w:p w:rsidR="006A3BB6" w:rsidRPr="00FA1635" w:rsidRDefault="006A3BB6" w:rsidP="006A3BB6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изпълнена</w:t>
            </w:r>
          </w:p>
          <w:p w:rsidR="006A3BB6" w:rsidRPr="00FA1635" w:rsidRDefault="006A3BB6" w:rsidP="00FA1635">
            <w:pPr>
              <w:spacing w:after="0" w:line="211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</w:tr>
      <w:tr w:rsidR="00FA1635" w:rsidRPr="00FA1635" w:rsidTr="00131355">
        <w:trPr>
          <w:trHeight w:val="4050"/>
        </w:trPr>
        <w:tc>
          <w:tcPr>
            <w:tcW w:w="1833" w:type="dxa"/>
            <w:shd w:val="clear" w:color="auto" w:fill="auto"/>
          </w:tcPr>
          <w:p w:rsidR="00FA1635" w:rsidRPr="00050F5B" w:rsidRDefault="00050F5B" w:rsidP="00050F5B">
            <w:pPr>
              <w:spacing w:before="60"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050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>Цел 6. Модернизиране на училищното и висшето образование в областта на информационните и комуникационни технологии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A1635" w:rsidRPr="00FA1635" w:rsidRDefault="00FA1635" w:rsidP="00FA1635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5</w:t>
            </w:r>
            <w:r w:rsidR="00275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а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. Засилване на</w:t>
            </w:r>
          </w:p>
          <w:p w:rsidR="00FA1635" w:rsidRPr="00FA1635" w:rsidRDefault="00FA1635" w:rsidP="00FA163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сътрудничеството между образование и индустрия –нова.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5" w:rsidRPr="00FA1635" w:rsidRDefault="00FA1635" w:rsidP="00FA1635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A163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НП „Обучение за ИТ умения и кариера“</w:t>
            </w:r>
          </w:p>
          <w:p w:rsidR="00FA1635" w:rsidRPr="00FA1635" w:rsidRDefault="00FA1635" w:rsidP="00FA1635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FA1635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– Модул 1 „Обучение за ИТ кариера“</w:t>
            </w:r>
          </w:p>
          <w:p w:rsidR="00FA1635" w:rsidRPr="00FA1635" w:rsidRDefault="00FA1635" w:rsidP="00FA16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– Модул 2 „ИТ умения за бъдещето“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5" w:rsidRPr="00FA1635" w:rsidRDefault="00B41E08" w:rsidP="00FA1635">
            <w:pPr>
              <w:spacing w:after="0" w:line="22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2020 – 2023</w:t>
            </w:r>
            <w:r w:rsidR="00FA1635"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учебна година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5" w:rsidRPr="00FA1635" w:rsidRDefault="00FA1635" w:rsidP="00FA16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1. Изграден капацитет за съвременно софтуерно образование и обучение по високи ИТ и други технологии чрез партньорство с университети и с ИТ бизнеса.</w:t>
            </w:r>
          </w:p>
          <w:p w:rsidR="00FA1635" w:rsidRPr="00FA1635" w:rsidRDefault="00FA1635" w:rsidP="00FA16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2. Придобиване на професионални компетентности по професия „Приложен програмист“ в съответствие с потребностите на бизнеса.</w:t>
            </w:r>
          </w:p>
          <w:p w:rsidR="00FA1635" w:rsidRPr="00FA1635" w:rsidRDefault="00FA1635" w:rsidP="00FA16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3. Създаване на пряка връзка между ученик и работодател и готовност на учениците още в XII клас да започнат работа в софтуерни компании.</w:t>
            </w:r>
          </w:p>
          <w:p w:rsidR="00FA1635" w:rsidRPr="00FA1635" w:rsidRDefault="00FA1635" w:rsidP="00FA16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4. Надградени уменията за работа в дигитална и високотехнологична среда.</w:t>
            </w:r>
          </w:p>
          <w:p w:rsidR="00FA1635" w:rsidRPr="00FA1635" w:rsidRDefault="00FA1635" w:rsidP="00FA16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5. Адаптирани учебни програми, отразяващи най-новите тенденции в дигиталните технологии.</w:t>
            </w:r>
          </w:p>
          <w:p w:rsidR="00FA1635" w:rsidRPr="00FA1635" w:rsidRDefault="00FA1635" w:rsidP="00FA16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6. Разработени учебни програми за разширената и допълнителната професионална подготовка.</w:t>
            </w:r>
          </w:p>
          <w:p w:rsidR="00FA1635" w:rsidRPr="00FA1635" w:rsidRDefault="00FA1635" w:rsidP="00FA163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7. Разработени учебни помагала за краткотрайни модули, надграждащи бързо променящите се изисквания на ИТ бизнеса.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F9" w:rsidRPr="002758F9" w:rsidRDefault="002758F9" w:rsidP="002758F9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2758F9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Модул 1</w:t>
            </w:r>
          </w:p>
          <w:p w:rsidR="002758F9" w:rsidRPr="002758F9" w:rsidRDefault="002758F9" w:rsidP="002758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758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 Изградени пет центъра за софтуерно обучение, ситуирани към професионални гимназии и реализирани чрез балансирано партньорство на професионална гимназия, висше училище и ИТ сектора.</w:t>
            </w:r>
          </w:p>
          <w:p w:rsidR="002758F9" w:rsidRPr="002758F9" w:rsidRDefault="002758F9" w:rsidP="002758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758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 Обновено учебно съдържание и учебни ресурси по модулите за обучение в партньорство с висши училища и ИТ сектора.</w:t>
            </w:r>
          </w:p>
          <w:p w:rsidR="002758F9" w:rsidRPr="002758F9" w:rsidRDefault="002758F9" w:rsidP="002758F9">
            <w:pPr>
              <w:spacing w:after="0" w:line="240" w:lineRule="auto"/>
              <w:ind w:left="80"/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</w:pPr>
            <w:r w:rsidRPr="002758F9">
              <w:rPr>
                <w:rFonts w:ascii="Times New Roman" w:hAnsi="Times New Roman" w:cs="Times New Roman"/>
                <w:i/>
                <w:sz w:val="20"/>
                <w:szCs w:val="20"/>
                <w:lang w:val="bg-BG"/>
              </w:rPr>
              <w:t>Модул 2</w:t>
            </w:r>
          </w:p>
          <w:p w:rsidR="002758F9" w:rsidRPr="002758F9" w:rsidRDefault="002758F9" w:rsidP="002758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758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Изпълнени са 8 проектни предложения – създадени са 8 партньорства между училища и ИТ компании в рамките на които:</w:t>
            </w:r>
          </w:p>
          <w:p w:rsidR="002758F9" w:rsidRPr="002758F9" w:rsidRDefault="002758F9" w:rsidP="002758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758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– е разработено учебно съдържание и учебни ресурси, свързани с придобиване или надграждане на дигитални компетентности в зависимост от изучаваната специалност от професия;</w:t>
            </w:r>
          </w:p>
          <w:p w:rsidR="00FA1635" w:rsidRPr="00FA1635" w:rsidRDefault="002758F9" w:rsidP="002758F9">
            <w:pPr>
              <w:spacing w:after="0" w:line="225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2758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– 36 учители са преминали обучение за преподаване на новото или допълнено учебно съдържание.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5" w:rsidRPr="00FA1635" w:rsidRDefault="00FA1635" w:rsidP="00FA163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МОН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6E" w:rsidRPr="00C9486E" w:rsidRDefault="00C9486E" w:rsidP="00C9486E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 w:bidi="bg-BG"/>
              </w:rPr>
            </w:pPr>
            <w:r w:rsidRPr="00C9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 w:bidi="bg-BG"/>
              </w:rPr>
              <w:t xml:space="preserve">Изпълнена за учебната 2021/2022 г., </w:t>
            </w:r>
          </w:p>
          <w:p w:rsidR="00C9486E" w:rsidRPr="00C9486E" w:rsidRDefault="00C9486E" w:rsidP="00C9486E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 w:bidi="bg-BG"/>
              </w:rPr>
            </w:pPr>
          </w:p>
          <w:p w:rsidR="00FA1635" w:rsidRPr="00FA1635" w:rsidRDefault="00C9486E" w:rsidP="00C9486E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9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 w:bidi="bg-BG"/>
              </w:rPr>
              <w:t>Продължава и през учебната 2022/2023 г</w:t>
            </w:r>
            <w:r w:rsidRPr="00C948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 w:eastAsia="bg-BG" w:bidi="bg-BG"/>
              </w:rPr>
              <w:t xml:space="preserve"> </w:t>
            </w:r>
          </w:p>
        </w:tc>
      </w:tr>
      <w:tr w:rsidR="00FA1635" w:rsidRPr="00FA1635" w:rsidTr="00131355">
        <w:trPr>
          <w:trHeight w:val="3908"/>
        </w:trPr>
        <w:tc>
          <w:tcPr>
            <w:tcW w:w="1833" w:type="dxa"/>
          </w:tcPr>
          <w:p w:rsidR="00FA1635" w:rsidRPr="00FA1635" w:rsidRDefault="00FA1635" w:rsidP="004C41DA">
            <w:pPr>
              <w:spacing w:before="60" w:after="0" w:line="240" w:lineRule="auto"/>
              <w:ind w:left="101" w:right="173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>Цел 6.</w:t>
            </w:r>
            <w:r w:rsidRPr="00FA1635"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Модернизиране на училищното</w:t>
            </w:r>
            <w:r w:rsidRPr="00FA163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и висшето образование в областта на </w:t>
            </w:r>
            <w:r w:rsidR="00E80201"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информационните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 и </w:t>
            </w:r>
            <w:r w:rsidR="00E80201"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комуникационни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-ни технологии</w:t>
            </w:r>
          </w:p>
        </w:tc>
        <w:tc>
          <w:tcPr>
            <w:tcW w:w="2115" w:type="dxa"/>
            <w:shd w:val="clear" w:color="auto" w:fill="CCFFFF"/>
          </w:tcPr>
          <w:p w:rsidR="00FA1635" w:rsidRPr="00FA1635" w:rsidRDefault="00FA1635" w:rsidP="004C41DA">
            <w:pPr>
              <w:spacing w:before="60" w:after="0" w:line="240" w:lineRule="auto"/>
              <w:ind w:left="115" w:righ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6. Въвеждане в националното законодателство на изискванията на новата регулаторна рамка в областта на аудиовизуалната политика.- Директива за аудиовизуални медийни услуги</w:t>
            </w:r>
          </w:p>
        </w:tc>
        <w:tc>
          <w:tcPr>
            <w:tcW w:w="1878" w:type="dxa"/>
            <w:gridSpan w:val="3"/>
            <w:shd w:val="clear" w:color="auto" w:fill="CCFFFF"/>
          </w:tcPr>
          <w:p w:rsidR="00FA1635" w:rsidRPr="00FA1635" w:rsidRDefault="00FA1635" w:rsidP="004C41DA">
            <w:pPr>
              <w:spacing w:before="60"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Ще бъде необходимо финансиране за укрепване и увеличаване на капацитета на националния регулатор – Съвет за електронни медии с оглед на разширяването на обхвата на директивата до платформи за </w:t>
            </w:r>
            <w:r w:rsidR="00E80201"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видео споделяне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*</w:t>
            </w:r>
          </w:p>
        </w:tc>
        <w:tc>
          <w:tcPr>
            <w:tcW w:w="1530" w:type="dxa"/>
            <w:gridSpan w:val="2"/>
            <w:shd w:val="clear" w:color="auto" w:fill="CCFFFF"/>
          </w:tcPr>
          <w:p w:rsidR="00FA1635" w:rsidRPr="00FA1635" w:rsidRDefault="00FA1635" w:rsidP="004C41DA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2022</w:t>
            </w:r>
          </w:p>
        </w:tc>
        <w:tc>
          <w:tcPr>
            <w:tcW w:w="2840" w:type="dxa"/>
            <w:gridSpan w:val="2"/>
            <w:shd w:val="clear" w:color="auto" w:fill="CCFFFF"/>
          </w:tcPr>
          <w:p w:rsidR="00FA1635" w:rsidRPr="00FA1635" w:rsidRDefault="00FA1635" w:rsidP="004C41DA">
            <w:pPr>
              <w:spacing w:before="60" w:after="0" w:line="240" w:lineRule="auto"/>
              <w:ind w:left="115" w:right="20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Преодоляване на различията в достъпа до цифровата грамотност, насърчаване достъпа до електронни услуги.</w:t>
            </w:r>
          </w:p>
        </w:tc>
        <w:tc>
          <w:tcPr>
            <w:tcW w:w="2650" w:type="dxa"/>
            <w:shd w:val="clear" w:color="auto" w:fill="CCFFFF"/>
          </w:tcPr>
          <w:p w:rsidR="00FA1635" w:rsidRPr="00FA1635" w:rsidRDefault="00FA1635" w:rsidP="004C41DA">
            <w:pPr>
              <w:spacing w:before="60" w:after="0" w:line="240" w:lineRule="auto"/>
              <w:ind w:left="115" w:right="13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Приети нормативни актове</w:t>
            </w:r>
          </w:p>
        </w:tc>
        <w:tc>
          <w:tcPr>
            <w:tcW w:w="1319" w:type="dxa"/>
            <w:gridSpan w:val="2"/>
            <w:shd w:val="clear" w:color="auto" w:fill="CCFFFF"/>
          </w:tcPr>
          <w:p w:rsidR="00FA1635" w:rsidRPr="00FA1635" w:rsidRDefault="00FA1635" w:rsidP="004C41DA">
            <w:pPr>
              <w:spacing w:before="60" w:after="0" w:line="240" w:lineRule="auto"/>
              <w:ind w:left="115" w:right="-1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МК</w:t>
            </w:r>
          </w:p>
        </w:tc>
        <w:tc>
          <w:tcPr>
            <w:tcW w:w="1381" w:type="dxa"/>
            <w:shd w:val="clear" w:color="auto" w:fill="CCFFFF"/>
          </w:tcPr>
          <w:p w:rsidR="00FA1635" w:rsidRPr="00FA1635" w:rsidRDefault="00FA1635" w:rsidP="004C41DA">
            <w:pPr>
              <w:spacing w:before="60" w:after="0" w:line="240" w:lineRule="auto"/>
              <w:ind w:left="115" w:right="-1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изпълнена</w:t>
            </w:r>
          </w:p>
        </w:tc>
      </w:tr>
    </w:tbl>
    <w:p w:rsidR="00FA1635" w:rsidRPr="00FA1635" w:rsidRDefault="00FA1635" w:rsidP="00FA1635">
      <w:pPr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 w:bidi="bg-BG"/>
        </w:rPr>
        <w:sectPr w:rsidR="00FA1635" w:rsidRPr="00FA1635" w:rsidSect="001A5FE3">
          <w:pgSz w:w="16840" w:h="11910" w:orient="landscape"/>
          <w:pgMar w:top="900" w:right="420" w:bottom="1160" w:left="460" w:header="718" w:footer="894" w:gutter="0"/>
          <w:cols w:space="708"/>
        </w:sectPr>
      </w:pPr>
    </w:p>
    <w:p w:rsidR="00FA1635" w:rsidRPr="00FA1635" w:rsidRDefault="00FA1635" w:rsidP="00FA1635">
      <w:pPr>
        <w:spacing w:before="11"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 w:bidi="bg-BG"/>
        </w:rPr>
      </w:pPr>
    </w:p>
    <w:tbl>
      <w:tblPr>
        <w:tblW w:w="15479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3"/>
        <w:gridCol w:w="2258"/>
        <w:gridCol w:w="1569"/>
        <w:gridCol w:w="1304"/>
        <w:gridCol w:w="3947"/>
        <w:gridCol w:w="1972"/>
        <w:gridCol w:w="1461"/>
        <w:gridCol w:w="1245"/>
        <w:gridCol w:w="10"/>
      </w:tblGrid>
      <w:tr w:rsidR="00FA1635" w:rsidRPr="00FA1635" w:rsidTr="00F13C73">
        <w:trPr>
          <w:gridAfter w:val="1"/>
          <w:wAfter w:w="10" w:type="dxa"/>
          <w:trHeight w:val="460"/>
          <w:tblHeader/>
        </w:trPr>
        <w:tc>
          <w:tcPr>
            <w:tcW w:w="1713" w:type="dxa"/>
            <w:shd w:val="clear" w:color="auto" w:fill="BCD5ED"/>
            <w:vAlign w:val="center"/>
          </w:tcPr>
          <w:p w:rsidR="00FA1635" w:rsidRPr="00FA1635" w:rsidRDefault="00FA1635" w:rsidP="00FA1635">
            <w:pPr>
              <w:spacing w:after="0" w:line="230" w:lineRule="atLeast"/>
              <w:ind w:left="6" w:right="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Цели</w:t>
            </w:r>
          </w:p>
        </w:tc>
        <w:tc>
          <w:tcPr>
            <w:tcW w:w="2258" w:type="dxa"/>
            <w:shd w:val="clear" w:color="auto" w:fill="BCD5ED"/>
            <w:vAlign w:val="center"/>
          </w:tcPr>
          <w:p w:rsidR="00FA1635" w:rsidRPr="00FA1635" w:rsidRDefault="00FA1635" w:rsidP="00FA1635">
            <w:pPr>
              <w:spacing w:after="0" w:line="230" w:lineRule="atLeast"/>
              <w:ind w:left="6" w:right="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Мерки /дейности</w:t>
            </w:r>
          </w:p>
        </w:tc>
        <w:tc>
          <w:tcPr>
            <w:tcW w:w="1569" w:type="dxa"/>
            <w:shd w:val="clear" w:color="auto" w:fill="BCD5ED"/>
            <w:vAlign w:val="center"/>
          </w:tcPr>
          <w:p w:rsidR="00FA1635" w:rsidRPr="00FA1635" w:rsidRDefault="00FA1635" w:rsidP="00FA1635">
            <w:pPr>
              <w:spacing w:after="0" w:line="230" w:lineRule="atLeast"/>
              <w:ind w:left="6" w:right="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Финансиране</w:t>
            </w:r>
          </w:p>
        </w:tc>
        <w:tc>
          <w:tcPr>
            <w:tcW w:w="1304" w:type="dxa"/>
            <w:shd w:val="clear" w:color="auto" w:fill="BCD5ED"/>
            <w:vAlign w:val="center"/>
          </w:tcPr>
          <w:p w:rsidR="00FA1635" w:rsidRPr="00FA1635" w:rsidRDefault="00FA1635" w:rsidP="00FA1635">
            <w:pPr>
              <w:spacing w:after="0" w:line="230" w:lineRule="atLeast"/>
              <w:ind w:left="6" w:right="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Срок за реализация</w:t>
            </w:r>
          </w:p>
        </w:tc>
        <w:tc>
          <w:tcPr>
            <w:tcW w:w="3947" w:type="dxa"/>
            <w:shd w:val="clear" w:color="auto" w:fill="BCD5ED"/>
            <w:vAlign w:val="center"/>
          </w:tcPr>
          <w:p w:rsidR="00FA1635" w:rsidRPr="00FA1635" w:rsidRDefault="00FA1635" w:rsidP="00FA1635">
            <w:pPr>
              <w:spacing w:after="0" w:line="230" w:lineRule="atLeast"/>
              <w:ind w:left="6" w:right="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Очаквани резултати</w:t>
            </w:r>
          </w:p>
        </w:tc>
        <w:tc>
          <w:tcPr>
            <w:tcW w:w="1972" w:type="dxa"/>
            <w:shd w:val="clear" w:color="auto" w:fill="BCD5ED"/>
            <w:vAlign w:val="center"/>
          </w:tcPr>
          <w:p w:rsidR="00FA1635" w:rsidRPr="00FA1635" w:rsidRDefault="00FA1635" w:rsidP="00FA1635">
            <w:pPr>
              <w:spacing w:after="0" w:line="230" w:lineRule="atLeast"/>
              <w:ind w:left="6" w:right="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Индикатори за изпълнение</w:t>
            </w:r>
          </w:p>
        </w:tc>
        <w:tc>
          <w:tcPr>
            <w:tcW w:w="1461" w:type="dxa"/>
            <w:shd w:val="clear" w:color="auto" w:fill="BCD5ED"/>
            <w:vAlign w:val="center"/>
          </w:tcPr>
          <w:p w:rsidR="00FA1635" w:rsidRPr="00FA1635" w:rsidRDefault="00FA1635" w:rsidP="00FA1635">
            <w:pPr>
              <w:spacing w:after="0" w:line="230" w:lineRule="atLeast"/>
              <w:ind w:left="6" w:right="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Отговорни институции</w:t>
            </w:r>
          </w:p>
        </w:tc>
        <w:tc>
          <w:tcPr>
            <w:tcW w:w="1245" w:type="dxa"/>
            <w:shd w:val="clear" w:color="auto" w:fill="BCD5ED"/>
            <w:vAlign w:val="center"/>
          </w:tcPr>
          <w:p w:rsidR="00FA1635" w:rsidRPr="00FA1635" w:rsidRDefault="00FA1635" w:rsidP="00FA1635">
            <w:pPr>
              <w:spacing w:after="0" w:line="230" w:lineRule="atLeast"/>
              <w:ind w:left="6" w:right="1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Отчет към дек. 2022</w:t>
            </w:r>
          </w:p>
        </w:tc>
      </w:tr>
      <w:tr w:rsidR="00FA1635" w:rsidRPr="00FA1635" w:rsidTr="001E4581">
        <w:trPr>
          <w:gridAfter w:val="1"/>
          <w:wAfter w:w="10" w:type="dxa"/>
          <w:trHeight w:val="433"/>
          <w:tblHeader/>
        </w:trPr>
        <w:tc>
          <w:tcPr>
            <w:tcW w:w="15469" w:type="dxa"/>
            <w:gridSpan w:val="8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FA1635" w:rsidRPr="00FA1635" w:rsidRDefault="00FA1635" w:rsidP="00FA1635">
            <w:pPr>
              <w:spacing w:before="103" w:after="0" w:line="240" w:lineRule="auto"/>
              <w:ind w:left="3821" w:hanging="2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bookmarkStart w:id="0" w:name="_Hlk62907755"/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ПРИОРИТЕТ 3: ПОВИШАВАНЕ НА ЦИФРОВИТЕ КОМПЕТЕНТНОСТИ И УМЕНИЯ</w:t>
            </w:r>
            <w:bookmarkEnd w:id="0"/>
          </w:p>
        </w:tc>
      </w:tr>
      <w:tr w:rsidR="00FA1635" w:rsidRPr="00FA1635" w:rsidTr="00F13C73">
        <w:trPr>
          <w:gridAfter w:val="1"/>
          <w:wAfter w:w="10" w:type="dxa"/>
          <w:trHeight w:val="924"/>
        </w:trPr>
        <w:tc>
          <w:tcPr>
            <w:tcW w:w="1713" w:type="dxa"/>
            <w:vMerge w:val="restart"/>
          </w:tcPr>
          <w:p w:rsidR="00FA1635" w:rsidRPr="00FA1635" w:rsidRDefault="00FA1635" w:rsidP="0007135F">
            <w:pPr>
              <w:spacing w:before="60" w:after="4440" w:line="240" w:lineRule="auto"/>
              <w:ind w:left="101" w:righ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bookmarkStart w:id="1" w:name="_Hlk62907772"/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Цел 7. Подобряване на качествените характеристики на работната сила в контекста на информационните и комуникационните технологии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.</w:t>
            </w:r>
            <w:bookmarkEnd w:id="1"/>
          </w:p>
          <w:p w:rsidR="0007135F" w:rsidRDefault="0007135F" w:rsidP="00FA1635">
            <w:pPr>
              <w:spacing w:after="0" w:line="240" w:lineRule="auto"/>
              <w:ind w:left="94" w:right="117" w:firstLine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  <w:p w:rsidR="0007135F" w:rsidRDefault="0007135F" w:rsidP="00FA1635">
            <w:pPr>
              <w:spacing w:after="0" w:line="240" w:lineRule="auto"/>
              <w:ind w:left="94" w:right="117" w:firstLine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  <w:p w:rsidR="00FA1635" w:rsidRPr="00FA1635" w:rsidRDefault="00FA1635" w:rsidP="00FA1635">
            <w:pPr>
              <w:spacing w:after="0" w:line="240" w:lineRule="auto"/>
              <w:ind w:left="94" w:right="117" w:firstLine="1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 xml:space="preserve">Цел 7. Подобряване на качествените характеристики на работната сила в контекста на </w:t>
            </w:r>
            <w:r w:rsidR="002C2F95"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информационните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 и </w:t>
            </w:r>
            <w:r w:rsidR="002C2F95"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комуникационните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 xml:space="preserve"> технологии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.</w:t>
            </w:r>
          </w:p>
        </w:tc>
        <w:tc>
          <w:tcPr>
            <w:tcW w:w="2258" w:type="dxa"/>
          </w:tcPr>
          <w:p w:rsidR="00FA1635" w:rsidRPr="00FA1635" w:rsidRDefault="00FA1635" w:rsidP="009F11D1">
            <w:pPr>
              <w:numPr>
                <w:ilvl w:val="0"/>
                <w:numId w:val="1"/>
              </w:numPr>
              <w:spacing w:before="60" w:after="0" w:line="240" w:lineRule="auto"/>
              <w:ind w:left="504" w:righ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lastRenderedPageBreak/>
              <w:t>Подобряване на цифровите умения на работната сила, включително чрез финансиране на обучения за придобиване на професионална квалификация и ключови компетентности в областта на ИКТ.</w:t>
            </w:r>
          </w:p>
        </w:tc>
        <w:tc>
          <w:tcPr>
            <w:tcW w:w="1569" w:type="dxa"/>
          </w:tcPr>
          <w:p w:rsidR="00FA1635" w:rsidRPr="00FA1635" w:rsidRDefault="00FA1635" w:rsidP="009F11D1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ОПРЧР 2014-2020</w:t>
            </w:r>
          </w:p>
          <w:p w:rsidR="00FA1635" w:rsidRPr="00FA1635" w:rsidRDefault="00FA1635" w:rsidP="009F11D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Държавен бюджет, Национален план за действие по заетостта (НПДЗ)</w:t>
            </w:r>
          </w:p>
        </w:tc>
        <w:tc>
          <w:tcPr>
            <w:tcW w:w="1304" w:type="dxa"/>
          </w:tcPr>
          <w:p w:rsidR="00FA1635" w:rsidRPr="00FA1635" w:rsidRDefault="009F11D1" w:rsidP="009F11D1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9F11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</w:t>
            </w:r>
            <w:r w:rsidR="00FA1635"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017-2021</w:t>
            </w:r>
          </w:p>
          <w:p w:rsidR="00FA1635" w:rsidRPr="00FA1635" w:rsidRDefault="00FA1635" w:rsidP="009F11D1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2022 отложена</w:t>
            </w:r>
            <w:r w:rsidR="0082462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за 2023</w:t>
            </w:r>
          </w:p>
        </w:tc>
        <w:tc>
          <w:tcPr>
            <w:tcW w:w="3947" w:type="dxa"/>
          </w:tcPr>
          <w:p w:rsidR="00FA1635" w:rsidRPr="00FA1635" w:rsidRDefault="00FA1635" w:rsidP="0007135F">
            <w:pPr>
              <w:spacing w:before="60" w:after="60" w:line="240" w:lineRule="auto"/>
              <w:ind w:left="115" w:right="1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Обучени заети и безработни лица, придобили професионална квалификация и/или ключови компетентности в областта на ИКТ.</w:t>
            </w:r>
          </w:p>
          <w:p w:rsidR="00FA1635" w:rsidRPr="003026BD" w:rsidRDefault="003026BD" w:rsidP="009F11D1">
            <w:pPr>
              <w:spacing w:after="0" w:line="237" w:lineRule="auto"/>
              <w:ind w:left="110" w:right="133"/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Постигнато до декември 2022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:</w:t>
            </w:r>
          </w:p>
          <w:p w:rsidR="00FA1635" w:rsidRPr="009D2205" w:rsidRDefault="00FA1635" w:rsidP="009F11D1">
            <w:pPr>
              <w:spacing w:after="0" w:line="237" w:lineRule="auto"/>
              <w:ind w:left="110" w:right="200"/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</w:pPr>
            <w:r w:rsidRPr="009F11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5 733</w:t>
            </w:r>
            <w:r w:rsidR="003026BD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 xml:space="preserve"> </w:t>
            </w:r>
            <w:r w:rsidRPr="009F11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- обучени заети и безработни лица, придобили професионална квалификация и/или ключови компетентности в областта на ИКТ</w:t>
            </w:r>
            <w:r w:rsidR="009D2205">
              <w:rPr>
                <w:rFonts w:ascii="Times New Roman" w:eastAsia="Times New Roman" w:hAnsi="Times New Roman" w:cs="Times New Roman"/>
                <w:sz w:val="20"/>
                <w:szCs w:val="20"/>
                <w:lang w:eastAsia="bg-BG" w:bidi="bg-BG"/>
              </w:rPr>
              <w:t>.</w:t>
            </w:r>
          </w:p>
        </w:tc>
        <w:tc>
          <w:tcPr>
            <w:tcW w:w="1972" w:type="dxa"/>
          </w:tcPr>
          <w:p w:rsidR="00FA1635" w:rsidRPr="009F11D1" w:rsidRDefault="00FA1635" w:rsidP="009F11D1">
            <w:pPr>
              <w:spacing w:before="60" w:after="0" w:line="240" w:lineRule="auto"/>
              <w:ind w:left="115" w:right="13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9F11D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3 201 - обучени заети и безработни лица, придобили професионална квалификация и/или ключови компетентности в областта на ИКТ</w:t>
            </w:r>
          </w:p>
          <w:p w:rsidR="00FA1635" w:rsidRPr="00FA1635" w:rsidRDefault="00FA1635" w:rsidP="009F11D1">
            <w:pPr>
              <w:spacing w:after="0" w:line="237" w:lineRule="auto"/>
              <w:ind w:left="110" w:right="133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461" w:type="dxa"/>
          </w:tcPr>
          <w:p w:rsidR="00FA1635" w:rsidRPr="00FA1635" w:rsidRDefault="00FA1635" w:rsidP="009F11D1">
            <w:pPr>
              <w:spacing w:before="60" w:after="0" w:line="240" w:lineRule="auto"/>
              <w:ind w:left="115" w:right="24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МТСП; АЗ</w:t>
            </w:r>
          </w:p>
        </w:tc>
        <w:tc>
          <w:tcPr>
            <w:tcW w:w="1245" w:type="dxa"/>
          </w:tcPr>
          <w:p w:rsidR="00FA1635" w:rsidRPr="00FA1635" w:rsidRDefault="00FA1635" w:rsidP="009F11D1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в процес на изпълнение</w:t>
            </w:r>
          </w:p>
        </w:tc>
      </w:tr>
      <w:tr w:rsidR="00FA1635" w:rsidRPr="00FA1635" w:rsidTr="00F13C73">
        <w:trPr>
          <w:gridAfter w:val="1"/>
          <w:wAfter w:w="10" w:type="dxa"/>
          <w:trHeight w:val="4315"/>
        </w:trPr>
        <w:tc>
          <w:tcPr>
            <w:tcW w:w="1713" w:type="dxa"/>
            <w:vMerge/>
            <w:tcBorders>
              <w:bottom w:val="single" w:sz="4" w:space="0" w:color="auto"/>
            </w:tcBorders>
          </w:tcPr>
          <w:p w:rsidR="00FA1635" w:rsidRPr="00FA1635" w:rsidRDefault="00FA1635" w:rsidP="00FA1635">
            <w:pPr>
              <w:spacing w:after="0" w:line="240" w:lineRule="auto"/>
              <w:ind w:left="107" w:right="1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258" w:type="dxa"/>
          </w:tcPr>
          <w:p w:rsidR="00FA1635" w:rsidRPr="00FA1635" w:rsidRDefault="00FA1635" w:rsidP="00576474">
            <w:pPr>
              <w:numPr>
                <w:ilvl w:val="0"/>
                <w:numId w:val="1"/>
              </w:numPr>
              <w:tabs>
                <w:tab w:val="left" w:pos="450"/>
              </w:tabs>
              <w:spacing w:before="60" w:after="0" w:line="240" w:lineRule="auto"/>
              <w:ind w:left="144" w:right="720" w:hanging="5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Умения</w:t>
            </w:r>
          </w:p>
        </w:tc>
        <w:tc>
          <w:tcPr>
            <w:tcW w:w="1569" w:type="dxa"/>
          </w:tcPr>
          <w:p w:rsidR="00FA1635" w:rsidRPr="00FA1635" w:rsidRDefault="00FA1635" w:rsidP="00576474">
            <w:pPr>
              <w:spacing w:before="60"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33 788 726 лв. </w:t>
            </w:r>
          </w:p>
          <w:p w:rsidR="00FA1635" w:rsidRPr="00FA1635" w:rsidRDefault="00FA1635" w:rsidP="00FA1635">
            <w:pPr>
              <w:spacing w:after="0" w:line="225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ОП РЧР</w:t>
            </w:r>
          </w:p>
          <w:p w:rsidR="00FA1635" w:rsidRPr="00FA1635" w:rsidRDefault="00FA1635" w:rsidP="00FA1635">
            <w:pPr>
              <w:spacing w:after="0" w:line="225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2014-2020</w:t>
            </w:r>
          </w:p>
        </w:tc>
        <w:tc>
          <w:tcPr>
            <w:tcW w:w="1304" w:type="dxa"/>
          </w:tcPr>
          <w:p w:rsidR="00FA1635" w:rsidRPr="00FA1635" w:rsidRDefault="00FA1635" w:rsidP="00576474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2020-2022</w:t>
            </w:r>
          </w:p>
          <w:p w:rsidR="00FA1635" w:rsidRPr="00FA1635" w:rsidRDefault="00FA1635" w:rsidP="00FA1635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отложен</w:t>
            </w:r>
            <w:r w:rsidR="00EF4E47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за 2023</w:t>
            </w:r>
          </w:p>
        </w:tc>
        <w:tc>
          <w:tcPr>
            <w:tcW w:w="3947" w:type="dxa"/>
          </w:tcPr>
          <w:p w:rsidR="00FA1635" w:rsidRPr="00FA1635" w:rsidRDefault="00FA1635" w:rsidP="00576474">
            <w:pPr>
              <w:spacing w:before="60" w:after="0" w:line="240" w:lineRule="auto"/>
              <w:ind w:left="115" w:right="20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Повишаване адекватността и уменията на заети, безработни и неактивни лица, съобразно актуалните нужди на бизнеса с цел увеличаване   производителността на труда, създаване на условия за устойчива заетост и осигуряване на по-качествени работни места. Улесняване достъпа до иновативни специфични обучения, осигуряване на връзката между изискванията на пазара на труда и необходимите умения, които следва да се притежават, с цел постигане на конкурентна и развиваща се икономика, основаваща се на знанието.</w:t>
            </w:r>
          </w:p>
          <w:p w:rsidR="00FA1635" w:rsidRPr="00FA1635" w:rsidRDefault="00FA1635" w:rsidP="00FA1635">
            <w:pPr>
              <w:spacing w:after="0" w:line="237" w:lineRule="auto"/>
              <w:ind w:right="20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Заети, безработни и неактивни участници, които при напускане на операцията са придобили квалификация или имат работа - 27 245 лица.</w:t>
            </w:r>
          </w:p>
        </w:tc>
        <w:tc>
          <w:tcPr>
            <w:tcW w:w="1972" w:type="dxa"/>
          </w:tcPr>
          <w:p w:rsidR="00FA1635" w:rsidRPr="00FA1635" w:rsidRDefault="00FA1635" w:rsidP="00576474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Заети, безработни и неактивни участници, включени в обучения -27 610 (за период 2020 – 2023 г.)</w:t>
            </w:r>
          </w:p>
          <w:p w:rsidR="00FA1635" w:rsidRPr="00FA1635" w:rsidRDefault="00FA1635" w:rsidP="00576474">
            <w:pPr>
              <w:spacing w:after="0" w:line="225" w:lineRule="exact"/>
              <w:ind w:left="110" w:right="133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Постигнато до декември 2022 г. - Заети, безработни и неактивни участници, включени в обучения – 7 320 лица</w:t>
            </w:r>
          </w:p>
        </w:tc>
        <w:tc>
          <w:tcPr>
            <w:tcW w:w="1461" w:type="dxa"/>
          </w:tcPr>
          <w:p w:rsidR="00FA1635" w:rsidRPr="00FA1635" w:rsidRDefault="00FA1635" w:rsidP="00576474">
            <w:pPr>
              <w:spacing w:before="60" w:after="0" w:line="240" w:lineRule="auto"/>
              <w:ind w:left="115" w:right="24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МТСП</w:t>
            </w:r>
          </w:p>
        </w:tc>
        <w:tc>
          <w:tcPr>
            <w:tcW w:w="1245" w:type="dxa"/>
          </w:tcPr>
          <w:p w:rsidR="00FA1635" w:rsidRPr="00FA1635" w:rsidRDefault="00FA1635" w:rsidP="00576474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в процес на изпълнение</w:t>
            </w:r>
          </w:p>
          <w:p w:rsidR="00FA1635" w:rsidRPr="00FA1635" w:rsidRDefault="00FA1635" w:rsidP="00576474">
            <w:pPr>
              <w:spacing w:after="0"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</w:tr>
      <w:tr w:rsidR="00FA1635" w:rsidRPr="00FA1635" w:rsidTr="00F13C73">
        <w:trPr>
          <w:gridAfter w:val="1"/>
          <w:wAfter w:w="10" w:type="dxa"/>
          <w:trHeight w:val="3338"/>
        </w:trPr>
        <w:tc>
          <w:tcPr>
            <w:tcW w:w="1713" w:type="dxa"/>
            <w:vMerge/>
          </w:tcPr>
          <w:p w:rsidR="00FA1635" w:rsidRPr="00FA1635" w:rsidRDefault="00FA1635" w:rsidP="00FA1635">
            <w:pPr>
              <w:spacing w:after="0" w:line="240" w:lineRule="auto"/>
              <w:ind w:left="107" w:right="1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258" w:type="dxa"/>
          </w:tcPr>
          <w:p w:rsidR="00FA1635" w:rsidRPr="00FA1635" w:rsidRDefault="00FA1635" w:rsidP="001A6328">
            <w:pPr>
              <w:spacing w:before="60" w:after="0" w:line="240" w:lineRule="auto"/>
              <w:ind w:left="115" w:righ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3.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Процедура "Развитие на дигиталните умения"</w:t>
            </w:r>
          </w:p>
        </w:tc>
        <w:tc>
          <w:tcPr>
            <w:tcW w:w="1569" w:type="dxa"/>
          </w:tcPr>
          <w:p w:rsidR="00FA1635" w:rsidRPr="00FA1635" w:rsidRDefault="00FA1635" w:rsidP="001A6328">
            <w:pPr>
              <w:spacing w:before="60"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14 000 000 лв. Оперативна програма "Развитие на човешките ресурси" 2014-2020г.</w:t>
            </w:r>
          </w:p>
        </w:tc>
        <w:tc>
          <w:tcPr>
            <w:tcW w:w="1304" w:type="dxa"/>
          </w:tcPr>
          <w:p w:rsidR="00FA1635" w:rsidRPr="00FA1635" w:rsidRDefault="00FA1635" w:rsidP="001A6328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2021-2023</w:t>
            </w:r>
          </w:p>
        </w:tc>
        <w:tc>
          <w:tcPr>
            <w:tcW w:w="3947" w:type="dxa"/>
          </w:tcPr>
          <w:p w:rsidR="00FA1635" w:rsidRPr="00FA1635" w:rsidRDefault="00FA1635" w:rsidP="001A6328">
            <w:pPr>
              <w:spacing w:before="60" w:after="0" w:line="240" w:lineRule="auto"/>
              <w:ind w:left="115" w:right="20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Определяне на специфичните нива на дигитални умения, необходими на заетите лица за изпълнението на ежедневните им задачи и подпомагане придобиването им, в съответствие с развиващите се дигитални технологии по отделните сектори на икономиката в страната. Преодоляване на дисбалансите в областта на дигиталните знания и умения. Осигуряване връзката между необходимите знания и умения и изискванията на бъдещия пазар на труда, с което се създават предпоставки за постигане на конкурентна и развиваща се икономика, основаваща се на технологичното развитие.</w:t>
            </w:r>
          </w:p>
          <w:p w:rsidR="00FA1635" w:rsidRPr="00FA1635" w:rsidRDefault="00FA1635" w:rsidP="00FA1635">
            <w:pPr>
              <w:spacing w:after="0" w:line="237" w:lineRule="auto"/>
              <w:ind w:left="108" w:right="20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972" w:type="dxa"/>
          </w:tcPr>
          <w:p w:rsidR="00FA1635" w:rsidRPr="00FA1635" w:rsidRDefault="00FA1635" w:rsidP="001A6328">
            <w:pPr>
              <w:spacing w:before="60" w:after="0" w:line="240" w:lineRule="auto"/>
              <w:ind w:left="115" w:right="13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За изпълнение до 2023 г.</w:t>
            </w:r>
          </w:p>
          <w:p w:rsidR="00FA1635" w:rsidRPr="00FA1635" w:rsidRDefault="00FA1635" w:rsidP="00FA1635">
            <w:pPr>
              <w:spacing w:after="0" w:line="237" w:lineRule="auto"/>
              <w:ind w:left="108" w:right="133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1.Заети лица, вкл. самостоятелно заети – 3 600;</w:t>
            </w:r>
          </w:p>
          <w:p w:rsidR="00FA1635" w:rsidRPr="00FA1635" w:rsidRDefault="00FA1635" w:rsidP="00FA1635">
            <w:pPr>
              <w:spacing w:after="0" w:line="237" w:lineRule="auto"/>
              <w:ind w:left="108" w:right="133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2.Брой предприятия, получили подкрепа – 700.</w:t>
            </w:r>
          </w:p>
        </w:tc>
        <w:tc>
          <w:tcPr>
            <w:tcW w:w="1461" w:type="dxa"/>
          </w:tcPr>
          <w:p w:rsidR="00FA1635" w:rsidRPr="00FA1635" w:rsidRDefault="00FA1635" w:rsidP="001A6328">
            <w:pPr>
              <w:spacing w:before="60" w:after="0" w:line="240" w:lineRule="auto"/>
              <w:ind w:left="115" w:right="24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МТСП</w:t>
            </w:r>
          </w:p>
        </w:tc>
        <w:tc>
          <w:tcPr>
            <w:tcW w:w="1245" w:type="dxa"/>
          </w:tcPr>
          <w:p w:rsidR="00824625" w:rsidRPr="00824625" w:rsidRDefault="00824625" w:rsidP="0082462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82462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в процес на изпълнение</w:t>
            </w:r>
          </w:p>
          <w:p w:rsidR="00FA1635" w:rsidRPr="00FA1635" w:rsidRDefault="00824625" w:rsidP="0082462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82462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Предоставянето на БФП по процедурата  се извършва чрез подбор на проекти. В този смисъл отчитането на данни по грантове процедури зависи от бенефициентите, респективно УО на ОП РЧР, ще има агрегиране данни за изпълнението след приключване на проектите през 2023 г.</w:t>
            </w:r>
          </w:p>
        </w:tc>
      </w:tr>
      <w:tr w:rsidR="00FA1635" w:rsidRPr="00FA1635" w:rsidTr="00F13C73">
        <w:trPr>
          <w:gridAfter w:val="1"/>
          <w:wAfter w:w="10" w:type="dxa"/>
          <w:trHeight w:val="2299"/>
        </w:trPr>
        <w:tc>
          <w:tcPr>
            <w:tcW w:w="1713" w:type="dxa"/>
            <w:vMerge/>
          </w:tcPr>
          <w:p w:rsidR="00FA1635" w:rsidRPr="00FA1635" w:rsidRDefault="00FA1635" w:rsidP="00FA1635">
            <w:pPr>
              <w:spacing w:after="0" w:line="240" w:lineRule="auto"/>
              <w:ind w:left="107" w:right="1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258" w:type="dxa"/>
          </w:tcPr>
          <w:p w:rsidR="00FA1635" w:rsidRPr="00FA1635" w:rsidRDefault="00FA1635" w:rsidP="0034485A">
            <w:pPr>
              <w:spacing w:before="60" w:after="0" w:line="240" w:lineRule="auto"/>
              <w:ind w:left="115" w:righ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4. Поддържане на актуален английско –български речник с термини на информационното общество и публикуването му на портала за отворени данни</w:t>
            </w:r>
          </w:p>
        </w:tc>
        <w:tc>
          <w:tcPr>
            <w:tcW w:w="1569" w:type="dxa"/>
          </w:tcPr>
          <w:p w:rsidR="00FA1635" w:rsidRPr="00FA1635" w:rsidRDefault="00FA1635" w:rsidP="0034485A">
            <w:pPr>
              <w:spacing w:before="60"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Не се изисква финансиране</w:t>
            </w:r>
          </w:p>
        </w:tc>
        <w:tc>
          <w:tcPr>
            <w:tcW w:w="1304" w:type="dxa"/>
          </w:tcPr>
          <w:p w:rsidR="00FA1635" w:rsidRPr="00FA1635" w:rsidRDefault="00FA1635" w:rsidP="0034485A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постоянен</w:t>
            </w:r>
          </w:p>
        </w:tc>
        <w:tc>
          <w:tcPr>
            <w:tcW w:w="3947" w:type="dxa"/>
          </w:tcPr>
          <w:p w:rsidR="00FA1635" w:rsidRPr="00FA1635" w:rsidRDefault="00FA1635" w:rsidP="0034485A">
            <w:pPr>
              <w:spacing w:before="60" w:after="0" w:line="240" w:lineRule="auto"/>
              <w:ind w:left="115" w:right="20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Повишаване терминологичния езиков ресурс на потребителите. Изготвен вариант на речник на сайта на МТИТС</w:t>
            </w:r>
          </w:p>
          <w:p w:rsidR="00FA1635" w:rsidRPr="00180123" w:rsidRDefault="00EB7ADB" w:rsidP="00FA1635">
            <w:pPr>
              <w:spacing w:after="0" w:line="237" w:lineRule="auto"/>
              <w:ind w:left="108" w:right="20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hyperlink r:id="rId9" w:history="1">
              <w:r w:rsidR="00180123">
                <w:rPr>
                  <w:rStyle w:val="Hyperlink"/>
                  <w:sz w:val="20"/>
                  <w:szCs w:val="20"/>
                </w:rPr>
                <w:t>https://www.mtitc.government.bg/glossary</w:t>
              </w:r>
            </w:hyperlink>
          </w:p>
          <w:p w:rsidR="00FA1635" w:rsidRPr="00FA1635" w:rsidRDefault="00FA1635" w:rsidP="00FA1635">
            <w:pPr>
              <w:spacing w:after="0" w:line="237" w:lineRule="auto"/>
              <w:ind w:left="108" w:right="20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 качен на портала за отворени данни</w:t>
            </w:r>
          </w:p>
          <w:p w:rsidR="00FA1635" w:rsidRPr="00FA1635" w:rsidRDefault="00EB7ADB" w:rsidP="00FA1635">
            <w:pPr>
              <w:spacing w:after="0" w:line="237" w:lineRule="auto"/>
              <w:ind w:left="108" w:right="20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hyperlink r:id="rId10" w:history="1">
              <w:r w:rsidR="00180123">
                <w:rPr>
                  <w:rStyle w:val="Hyperlink"/>
                  <w:sz w:val="20"/>
                  <w:szCs w:val="20"/>
                </w:rPr>
                <w:t>https://data.egov.bg/organisation/profile/dc6999c4-24ab-46a0-b32f-c8e884cf7b04</w:t>
              </w:r>
            </w:hyperlink>
          </w:p>
        </w:tc>
        <w:tc>
          <w:tcPr>
            <w:tcW w:w="1972" w:type="dxa"/>
          </w:tcPr>
          <w:p w:rsidR="00FA1635" w:rsidRPr="00FA1635" w:rsidRDefault="00FA1635" w:rsidP="0034485A">
            <w:pPr>
              <w:spacing w:before="60" w:after="0" w:line="240" w:lineRule="auto"/>
              <w:ind w:left="115" w:right="13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Повишаване езиковата и технологична професионална култура на потребителите на речника</w:t>
            </w:r>
          </w:p>
        </w:tc>
        <w:tc>
          <w:tcPr>
            <w:tcW w:w="1461" w:type="dxa"/>
          </w:tcPr>
          <w:p w:rsidR="00FA1635" w:rsidRPr="00FA1635" w:rsidRDefault="00FA1635" w:rsidP="0034485A">
            <w:pPr>
              <w:spacing w:before="60" w:after="0" w:line="240" w:lineRule="auto"/>
              <w:ind w:left="115" w:right="24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МЕУ</w:t>
            </w:r>
          </w:p>
        </w:tc>
        <w:tc>
          <w:tcPr>
            <w:tcW w:w="1245" w:type="dxa"/>
          </w:tcPr>
          <w:p w:rsidR="00FA1635" w:rsidRPr="00FA1635" w:rsidRDefault="00FA1635" w:rsidP="0034485A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изпълнява се</w:t>
            </w:r>
          </w:p>
        </w:tc>
      </w:tr>
      <w:tr w:rsidR="00FA1635" w:rsidRPr="00FA1635" w:rsidTr="00F13C73">
        <w:trPr>
          <w:gridAfter w:val="1"/>
          <w:wAfter w:w="10" w:type="dxa"/>
          <w:trHeight w:val="4270"/>
        </w:trPr>
        <w:tc>
          <w:tcPr>
            <w:tcW w:w="1713" w:type="dxa"/>
            <w:vMerge w:val="restart"/>
          </w:tcPr>
          <w:p w:rsidR="00FA1635" w:rsidRPr="00FA1635" w:rsidRDefault="00FA1635" w:rsidP="0034485A">
            <w:pPr>
              <w:spacing w:before="60" w:after="0" w:line="240" w:lineRule="auto"/>
              <w:ind w:left="101" w:right="3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 xml:space="preserve">Цел 8. Увеличаване на </w:t>
            </w:r>
            <w:r w:rsidRPr="00FA1635">
              <w:rPr>
                <w:rFonts w:ascii="Times New Roman" w:eastAsia="Times New Roman" w:hAnsi="Times New Roman" w:cs="Times New Roman"/>
                <w:b/>
                <w:w w:val="95"/>
                <w:sz w:val="20"/>
                <w:szCs w:val="20"/>
                <w:lang w:val="bg-BG" w:eastAsia="bg-BG" w:bidi="bg-BG"/>
              </w:rPr>
              <w:t>висококвалифициранит</w:t>
            </w: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е специалисти в областта на ИКТ.</w:t>
            </w:r>
          </w:p>
          <w:p w:rsidR="00FA1635" w:rsidRPr="00FA1635" w:rsidRDefault="00FA1635" w:rsidP="00FA1635">
            <w:pPr>
              <w:spacing w:after="0" w:line="240" w:lineRule="auto"/>
              <w:ind w:left="107" w:right="3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258" w:type="dxa"/>
            <w:shd w:val="clear" w:color="auto" w:fill="CCFFFF"/>
          </w:tcPr>
          <w:p w:rsidR="00FA1635" w:rsidRPr="00FA1635" w:rsidRDefault="00FA1635" w:rsidP="0034485A">
            <w:pPr>
              <w:spacing w:before="60" w:after="0" w:line="240" w:lineRule="auto"/>
              <w:ind w:left="115" w:right="302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1. Увеличаване на броя на младите хора, обучени за професиите в областта на ИКТ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.</w:t>
            </w:r>
          </w:p>
        </w:tc>
        <w:tc>
          <w:tcPr>
            <w:tcW w:w="1569" w:type="dxa"/>
            <w:shd w:val="clear" w:color="auto" w:fill="CCFFFF"/>
          </w:tcPr>
          <w:p w:rsidR="00FA1635" w:rsidRPr="00FA1635" w:rsidRDefault="00FA1635" w:rsidP="0034485A">
            <w:pPr>
              <w:spacing w:before="60"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ОП РЧР 2014-2020 г. Процедура </w:t>
            </w:r>
            <w:r w:rsidRPr="00FA1635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bg-BG" w:eastAsia="bg-BG" w:bidi="bg-BG"/>
              </w:rPr>
              <w:t xml:space="preserve">„Специфични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обучения“</w:t>
            </w:r>
          </w:p>
        </w:tc>
        <w:tc>
          <w:tcPr>
            <w:tcW w:w="1304" w:type="dxa"/>
            <w:shd w:val="clear" w:color="auto" w:fill="CCFFFF"/>
          </w:tcPr>
          <w:p w:rsidR="00FA1635" w:rsidRPr="00FA1635" w:rsidRDefault="00FA1635" w:rsidP="0034485A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2018-2019</w:t>
            </w:r>
          </w:p>
        </w:tc>
        <w:tc>
          <w:tcPr>
            <w:tcW w:w="3947" w:type="dxa"/>
            <w:shd w:val="clear" w:color="auto" w:fill="CCFFFF"/>
          </w:tcPr>
          <w:p w:rsidR="00FA1635" w:rsidRPr="00FA1635" w:rsidRDefault="00FA1635" w:rsidP="0034485A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99 Безработни и неактивни участници на възраст до 29 г. вкл., със завършено средно или висше образование, които при напускане на операцията получават квалификация.</w:t>
            </w:r>
          </w:p>
          <w:p w:rsidR="00FA1635" w:rsidRPr="00FA1635" w:rsidRDefault="00FA1635" w:rsidP="00FA163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FA1635" w:rsidRPr="00FA1635" w:rsidRDefault="00FA1635" w:rsidP="00FA163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Отчетени резултати към 31.12.2020 г.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en-CA" w:eastAsia="bg-BG" w:bidi="bg-BG"/>
              </w:rPr>
              <w:t xml:space="preserve">: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66 безработни и неактивни участници на възраст до 29 г., вкл., със завършено средно или висше образование, които при напускане на операцията получават квалификация</w:t>
            </w:r>
          </w:p>
        </w:tc>
        <w:tc>
          <w:tcPr>
            <w:tcW w:w="1972" w:type="dxa"/>
            <w:shd w:val="clear" w:color="auto" w:fill="CCFFFF"/>
          </w:tcPr>
          <w:p w:rsidR="00FA1635" w:rsidRPr="00FA1635" w:rsidRDefault="00FA1635" w:rsidP="0034485A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99 Включени безработни и неактивни участници до 29 г. в обучения в сектора на</w:t>
            </w:r>
            <w:r w:rsidRPr="00FA163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високите технологии и</w:t>
            </w:r>
            <w:r w:rsidRPr="00FA163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bg-BG" w:eastAsia="bg-BG" w:bidi="bg-BG"/>
              </w:rPr>
              <w:t xml:space="preserve">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ИКТ.</w:t>
            </w:r>
          </w:p>
          <w:p w:rsidR="00FA1635" w:rsidRPr="00FA1635" w:rsidRDefault="00FA1635" w:rsidP="00FA1635">
            <w:pPr>
              <w:spacing w:after="0"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FA1635" w:rsidRPr="00FA1635" w:rsidRDefault="00FA1635" w:rsidP="00FA1635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Отчетени резултати към 31.12.2020 г.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en-CA" w:eastAsia="bg-BG" w:bidi="bg-BG"/>
              </w:rPr>
              <w:t xml:space="preserve">: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76 включени безработни и неактивни участници на възраст до 29 г. в обучения в сектора на високите технологии и ИКТ</w:t>
            </w:r>
          </w:p>
        </w:tc>
        <w:tc>
          <w:tcPr>
            <w:tcW w:w="1461" w:type="dxa"/>
            <w:shd w:val="clear" w:color="auto" w:fill="CCFFFF"/>
          </w:tcPr>
          <w:p w:rsidR="00FA1635" w:rsidRPr="00FA1635" w:rsidRDefault="00FA1635" w:rsidP="0034485A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УО на ОП РЧР, Бенефициенти (работодатели в сектори на високите технологии и ИКТ)</w:t>
            </w:r>
          </w:p>
        </w:tc>
        <w:tc>
          <w:tcPr>
            <w:tcW w:w="1245" w:type="dxa"/>
            <w:shd w:val="clear" w:color="auto" w:fill="CCFFFF"/>
          </w:tcPr>
          <w:p w:rsidR="00FA1635" w:rsidRPr="00FA1635" w:rsidRDefault="00FA1635" w:rsidP="0034485A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изпълнена </w:t>
            </w:r>
          </w:p>
          <w:p w:rsidR="00FA1635" w:rsidRPr="00FA1635" w:rsidRDefault="00FA1635" w:rsidP="00FA163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</w:tr>
      <w:tr w:rsidR="00FA1635" w:rsidRPr="00FA1635" w:rsidTr="00F13C73">
        <w:trPr>
          <w:gridAfter w:val="1"/>
          <w:wAfter w:w="10" w:type="dxa"/>
          <w:trHeight w:val="2742"/>
        </w:trPr>
        <w:tc>
          <w:tcPr>
            <w:tcW w:w="1713" w:type="dxa"/>
            <w:vMerge/>
          </w:tcPr>
          <w:p w:rsidR="00FA1635" w:rsidRPr="00FA1635" w:rsidRDefault="00FA1635" w:rsidP="00FA1635">
            <w:pPr>
              <w:spacing w:after="0" w:line="240" w:lineRule="auto"/>
              <w:ind w:left="107" w:right="32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258" w:type="dxa"/>
            <w:shd w:val="clear" w:color="auto" w:fill="CCFFFF"/>
          </w:tcPr>
          <w:p w:rsidR="00FA1635" w:rsidRPr="00FA1635" w:rsidRDefault="00FA1635" w:rsidP="0034485A">
            <w:pPr>
              <w:spacing w:before="60" w:after="0" w:line="240" w:lineRule="auto"/>
              <w:ind w:left="115" w:righ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2. Повишаване на квалификацията на специалисти в областта на ИКТ в перспективата на учене през целия живот.</w:t>
            </w:r>
          </w:p>
        </w:tc>
        <w:tc>
          <w:tcPr>
            <w:tcW w:w="1569" w:type="dxa"/>
            <w:shd w:val="clear" w:color="auto" w:fill="CCFFFF"/>
          </w:tcPr>
          <w:p w:rsidR="00FA1635" w:rsidRPr="00FA1635" w:rsidRDefault="00FA1635" w:rsidP="0034485A">
            <w:pPr>
              <w:spacing w:before="60"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ОП РЧР 2014- 2020 г. Процедура </w:t>
            </w:r>
            <w:r w:rsidRPr="00FA1635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bg-BG" w:eastAsia="bg-BG" w:bidi="bg-BG"/>
              </w:rPr>
              <w:t xml:space="preserve">„Специфични </w:t>
            </w: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обучения“</w:t>
            </w:r>
          </w:p>
        </w:tc>
        <w:tc>
          <w:tcPr>
            <w:tcW w:w="1304" w:type="dxa"/>
            <w:shd w:val="clear" w:color="auto" w:fill="CCFFFF"/>
          </w:tcPr>
          <w:p w:rsidR="00FA1635" w:rsidRPr="00FA1635" w:rsidRDefault="00FA1635" w:rsidP="0034485A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2018-2019</w:t>
            </w:r>
          </w:p>
        </w:tc>
        <w:tc>
          <w:tcPr>
            <w:tcW w:w="3947" w:type="dxa"/>
            <w:shd w:val="clear" w:color="auto" w:fill="CCFFFF"/>
          </w:tcPr>
          <w:p w:rsidR="00FA1635" w:rsidRPr="00FA1635" w:rsidRDefault="00FA1635" w:rsidP="0034485A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1150 Участници, придобили квалификация при напускане на операцията.</w:t>
            </w:r>
          </w:p>
          <w:p w:rsidR="00FA1635" w:rsidRPr="00FA1635" w:rsidRDefault="00FA1635" w:rsidP="00FA1635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FA1635" w:rsidRPr="00FA1635" w:rsidRDefault="00FA1635" w:rsidP="00FA1635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Отчетени резултати към 31.12.2020</w:t>
            </w:r>
          </w:p>
          <w:p w:rsidR="00FA1635" w:rsidRPr="00FA1635" w:rsidRDefault="00FA1635" w:rsidP="00FA1635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FA1635" w:rsidRPr="00FA1635" w:rsidRDefault="00FA1635" w:rsidP="00FA1635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1897 участници, придобили квалификация при напускане на операцията.</w:t>
            </w:r>
          </w:p>
        </w:tc>
        <w:tc>
          <w:tcPr>
            <w:tcW w:w="1972" w:type="dxa"/>
            <w:shd w:val="clear" w:color="auto" w:fill="CCFFFF"/>
          </w:tcPr>
          <w:p w:rsidR="00FA1635" w:rsidRPr="00FA1635" w:rsidRDefault="00FA1635" w:rsidP="0034485A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1150 Включени заети лица в обучения в сектора на високите технологии и ИКТ.</w:t>
            </w:r>
          </w:p>
          <w:p w:rsidR="00FA1635" w:rsidRPr="00FA1635" w:rsidRDefault="00FA1635" w:rsidP="00FA163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Отчетени резултати към 31.12.2020</w:t>
            </w:r>
          </w:p>
          <w:p w:rsidR="00FA1635" w:rsidRPr="00FA1635" w:rsidRDefault="00FA1635" w:rsidP="00FA163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  <w:p w:rsidR="00FA1635" w:rsidRPr="00FA1635" w:rsidRDefault="00FA1635" w:rsidP="00FA163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2036 включени заети лица в обучения в сектора на високите технологии и ИКТ</w:t>
            </w:r>
          </w:p>
        </w:tc>
        <w:tc>
          <w:tcPr>
            <w:tcW w:w="1461" w:type="dxa"/>
            <w:shd w:val="clear" w:color="auto" w:fill="CCFFFF"/>
          </w:tcPr>
          <w:p w:rsidR="00FA1635" w:rsidRPr="00FA1635" w:rsidRDefault="00FA1635" w:rsidP="0034485A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УО на ОП РЧР, Бенефициенти (работодатели в сектори на високите технологии и ИКТ)</w:t>
            </w:r>
          </w:p>
        </w:tc>
        <w:tc>
          <w:tcPr>
            <w:tcW w:w="1245" w:type="dxa"/>
            <w:shd w:val="clear" w:color="auto" w:fill="CCFFFF"/>
          </w:tcPr>
          <w:p w:rsidR="00FA1635" w:rsidRPr="00FA1635" w:rsidRDefault="00FA1635" w:rsidP="0034485A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изпълнена </w:t>
            </w:r>
          </w:p>
          <w:p w:rsidR="00FA1635" w:rsidRPr="00FA1635" w:rsidRDefault="00FA1635" w:rsidP="00FA1635">
            <w:pPr>
              <w:spacing w:after="0" w:line="22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</w:tr>
      <w:tr w:rsidR="00FA1635" w:rsidRPr="00FA1635" w:rsidTr="00CC45AA">
        <w:trPr>
          <w:trHeight w:val="985"/>
        </w:trPr>
        <w:tc>
          <w:tcPr>
            <w:tcW w:w="1713" w:type="dxa"/>
            <w:vMerge w:val="restart"/>
            <w:vAlign w:val="bottom"/>
          </w:tcPr>
          <w:p w:rsidR="00FA1635" w:rsidRPr="00FA1635" w:rsidRDefault="00FA1635" w:rsidP="00CC45AA">
            <w:pPr>
              <w:spacing w:before="240" w:after="3600" w:line="240" w:lineRule="auto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>Цел 9. Гарантиране на правата на децата в цифровата среда.</w:t>
            </w:r>
          </w:p>
          <w:p w:rsidR="0034485A" w:rsidRDefault="0034485A" w:rsidP="0034485A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  <w:p w:rsidR="00FA1635" w:rsidRPr="00FA1635" w:rsidRDefault="00FA1635" w:rsidP="0034485A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lastRenderedPageBreak/>
              <w:t>Цел 9. Гарантиране на правата на децата в цифровата среда</w:t>
            </w:r>
          </w:p>
          <w:p w:rsidR="00FA1635" w:rsidRDefault="00FA1635" w:rsidP="00CC45AA">
            <w:pPr>
              <w:spacing w:before="960" w:after="480" w:line="225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  <w:p w:rsidR="00CC45AA" w:rsidRDefault="00CC45AA" w:rsidP="00CC45AA">
            <w:pPr>
              <w:spacing w:before="960" w:after="480" w:line="225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  <w:p w:rsidR="00CC45AA" w:rsidRDefault="00CC45AA" w:rsidP="00CC45AA">
            <w:pPr>
              <w:spacing w:before="960" w:after="480" w:line="225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  <w:p w:rsidR="00CC45AA" w:rsidRDefault="00CC45AA" w:rsidP="0034485A">
            <w:pPr>
              <w:spacing w:before="1200" w:after="480" w:line="225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CC4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Цел 9. Гарантиране на правата на децата в цифровата среда</w:t>
            </w:r>
          </w:p>
          <w:p w:rsidR="00CC45AA" w:rsidRPr="00FA1635" w:rsidRDefault="00CC45AA" w:rsidP="00CC45AA">
            <w:pPr>
              <w:spacing w:before="960" w:after="480" w:line="225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35" w:rsidRPr="00FA1635" w:rsidRDefault="00FA1635" w:rsidP="0034485A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lastRenderedPageBreak/>
              <w:t>1. Организиране на информационни кампании за ограничаване на рисковете и отговорното поведение на децата в интернет среда.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35" w:rsidRPr="00FA1635" w:rsidRDefault="00FA1635" w:rsidP="0034485A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lang w:val="bg-BG" w:eastAsia="bg-BG" w:bidi="bg-BG"/>
              </w:rPr>
              <w:t>Бюджет на ДАЗД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35" w:rsidRPr="00FA1635" w:rsidRDefault="00FA1635" w:rsidP="0034485A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постоянен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5D" w:rsidRPr="00CB2E5D" w:rsidRDefault="00CB2E5D" w:rsidP="0034485A">
            <w:pPr>
              <w:pStyle w:val="TableParagraph"/>
              <w:spacing w:before="60"/>
              <w:ind w:left="144" w:right="144"/>
              <w:rPr>
                <w:sz w:val="20"/>
                <w:szCs w:val="20"/>
              </w:rPr>
            </w:pPr>
            <w:r w:rsidRPr="00CB2E5D">
              <w:rPr>
                <w:sz w:val="20"/>
                <w:szCs w:val="20"/>
              </w:rPr>
              <w:t>Проведени кампании с различни целеви групи, преведени и издадени информационни материали на Съвета на Европа по темата, продуциране на оригинални продукти за кампаниите.</w:t>
            </w:r>
          </w:p>
          <w:p w:rsidR="00CB2E5D" w:rsidRPr="00CB2E5D" w:rsidRDefault="00CB2E5D" w:rsidP="00CB2E5D">
            <w:pPr>
              <w:pStyle w:val="TableParagraph"/>
              <w:spacing w:line="225" w:lineRule="exact"/>
              <w:ind w:left="144" w:right="144"/>
              <w:rPr>
                <w:sz w:val="20"/>
                <w:szCs w:val="20"/>
              </w:rPr>
            </w:pPr>
            <w:r w:rsidRPr="00CB2E5D">
              <w:rPr>
                <w:sz w:val="20"/>
                <w:szCs w:val="20"/>
              </w:rPr>
              <w:t xml:space="preserve"> към 31.12.2022</w:t>
            </w:r>
          </w:p>
          <w:p w:rsidR="00CB2E5D" w:rsidRPr="00CB2E5D" w:rsidRDefault="00CB2E5D" w:rsidP="00CB2E5D">
            <w:pPr>
              <w:pStyle w:val="TableParagraph"/>
              <w:spacing w:line="225" w:lineRule="exact"/>
              <w:ind w:left="144" w:right="144"/>
              <w:rPr>
                <w:sz w:val="20"/>
                <w:szCs w:val="20"/>
              </w:rPr>
            </w:pPr>
            <w:r w:rsidRPr="00CB2E5D">
              <w:rPr>
                <w:sz w:val="20"/>
                <w:szCs w:val="20"/>
              </w:rPr>
              <w:t>• „Нека всеки ден да е ден на детето“ - отбелязване на 1 юни - Международен ден на детето с основен акцент за безопасността на децата в мрежата;</w:t>
            </w:r>
          </w:p>
          <w:p w:rsidR="00CB2E5D" w:rsidRPr="00CB2E5D" w:rsidRDefault="00CB2E5D" w:rsidP="00CB2E5D">
            <w:pPr>
              <w:pStyle w:val="TableParagraph"/>
              <w:spacing w:line="225" w:lineRule="exact"/>
              <w:ind w:left="144" w:right="144"/>
              <w:rPr>
                <w:sz w:val="20"/>
                <w:szCs w:val="20"/>
              </w:rPr>
            </w:pPr>
            <w:r w:rsidRPr="00CB2E5D">
              <w:rPr>
                <w:sz w:val="20"/>
                <w:szCs w:val="20"/>
              </w:rPr>
              <w:t>• Отбелязване на Международния ден за безопасен интернет (8 февруари 2022 г.) и провеждане на събитие относно онлайн насилието, дезинформацията в интернет и насилието в онлайн игрите;</w:t>
            </w:r>
          </w:p>
          <w:p w:rsidR="00CB2E5D" w:rsidRPr="00CB2E5D" w:rsidRDefault="00CB2E5D" w:rsidP="00CB2E5D">
            <w:pPr>
              <w:pStyle w:val="TableParagraph"/>
              <w:spacing w:line="225" w:lineRule="exact"/>
              <w:ind w:left="144" w:right="144"/>
              <w:rPr>
                <w:sz w:val="20"/>
                <w:szCs w:val="20"/>
              </w:rPr>
            </w:pPr>
            <w:r w:rsidRPr="00CB2E5D">
              <w:rPr>
                <w:sz w:val="20"/>
                <w:szCs w:val="20"/>
              </w:rPr>
              <w:t>• Разпространяване на създаденото през 2021 г.  помагало „Безопасност в мрежата“ и през 2022г.;</w:t>
            </w:r>
          </w:p>
          <w:p w:rsidR="00CB2E5D" w:rsidRPr="00CB2E5D" w:rsidRDefault="00CB2E5D" w:rsidP="00CB2E5D">
            <w:pPr>
              <w:pStyle w:val="TableParagraph"/>
              <w:spacing w:line="225" w:lineRule="exact"/>
              <w:ind w:left="144" w:right="144"/>
              <w:rPr>
                <w:sz w:val="20"/>
                <w:szCs w:val="20"/>
              </w:rPr>
            </w:pPr>
            <w:r w:rsidRPr="00CB2E5D">
              <w:rPr>
                <w:sz w:val="20"/>
                <w:szCs w:val="20"/>
              </w:rPr>
              <w:t>• Проведен семинар на тема „Правата на децата в цифрова среда и практики по превенция на насилието“;</w:t>
            </w:r>
          </w:p>
          <w:p w:rsidR="00FA1635" w:rsidRPr="00CB2E5D" w:rsidRDefault="00CB2E5D" w:rsidP="00CB2E5D">
            <w:pPr>
              <w:spacing w:after="0" w:line="225" w:lineRule="exact"/>
              <w:ind w:left="144" w:right="14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B2E5D">
              <w:rPr>
                <w:rFonts w:ascii="Times New Roman" w:hAnsi="Times New Roman" w:cs="Times New Roman"/>
                <w:sz w:val="20"/>
                <w:szCs w:val="20"/>
              </w:rPr>
              <w:t>• Организиран майсторски клас „Иновации и отговорности в дигиталния свят с децата“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E5D" w:rsidRDefault="00CB2E5D" w:rsidP="0034485A">
            <w:pPr>
              <w:spacing w:before="60" w:after="0" w:line="240" w:lineRule="auto"/>
              <w:ind w:left="14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CB2E5D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са</w:t>
            </w:r>
            <w:r w:rsidRPr="00CB2E5D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B2E5D">
              <w:rPr>
                <w:rFonts w:ascii="Times New Roman" w:hAnsi="Times New Roman" w:cs="Times New Roman"/>
                <w:sz w:val="20"/>
                <w:szCs w:val="20"/>
              </w:rPr>
              <w:t xml:space="preserve">кампании с различни целеви групи. </w:t>
            </w:r>
          </w:p>
          <w:p w:rsidR="00FA1635" w:rsidRPr="00CB2E5D" w:rsidRDefault="00CB2E5D" w:rsidP="00CB2E5D">
            <w:pPr>
              <w:spacing w:after="0" w:line="225" w:lineRule="exact"/>
              <w:ind w:left="144" w:right="14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CB2E5D">
              <w:rPr>
                <w:rFonts w:ascii="Times New Roman" w:hAnsi="Times New Roman" w:cs="Times New Roman"/>
                <w:sz w:val="20"/>
                <w:szCs w:val="20"/>
              </w:rPr>
              <w:t>Преведени и издадени поне 5 информационни материали по темата,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35" w:rsidRPr="00FA1635" w:rsidRDefault="00FA1635" w:rsidP="0034485A">
            <w:pPr>
              <w:spacing w:before="60" w:after="0" w:line="240" w:lineRule="auto"/>
              <w:ind w:left="475" w:right="144" w:hanging="331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ДАЗД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635" w:rsidRPr="00FA1635" w:rsidRDefault="00FA1635" w:rsidP="00FA1635">
            <w:pPr>
              <w:spacing w:before="116"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изпълнява се</w:t>
            </w:r>
          </w:p>
        </w:tc>
      </w:tr>
      <w:tr w:rsidR="00F13C73" w:rsidRPr="00FA1635" w:rsidTr="00F13C73">
        <w:trPr>
          <w:trHeight w:val="1840"/>
        </w:trPr>
        <w:tc>
          <w:tcPr>
            <w:tcW w:w="1713" w:type="dxa"/>
            <w:vMerge/>
          </w:tcPr>
          <w:p w:rsidR="00F13C73" w:rsidRPr="00FA1635" w:rsidRDefault="00F13C73" w:rsidP="00F1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3" w:rsidRPr="00FA1635" w:rsidRDefault="00F13C73" w:rsidP="00F13C73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2. Развитие на сътрудничеството с академичните среди за въвеждане и развитие на обучение по медийна и цифрова грамотност.</w:t>
            </w:r>
          </w:p>
          <w:p w:rsidR="00F13C73" w:rsidRPr="00FA1635" w:rsidRDefault="00F13C73" w:rsidP="00F13C73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3" w:rsidRPr="00FA1635" w:rsidRDefault="00F13C73" w:rsidP="00F13C73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lang w:val="bg-BG" w:eastAsia="bg-BG" w:bidi="bg-BG"/>
              </w:rPr>
              <w:t>Бюджет на ДАЗД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3" w:rsidRPr="00FA1635" w:rsidRDefault="00F13C73" w:rsidP="00F13C73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lang w:val="bg-BG" w:eastAsia="bg-BG" w:bidi="bg-BG"/>
              </w:rPr>
              <w:t>постоянен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3" w:rsidRDefault="00F13C73" w:rsidP="00F13C73">
            <w:pPr>
              <w:pStyle w:val="TableParagraph"/>
              <w:spacing w:line="225" w:lineRule="exact"/>
              <w:ind w:left="144" w:right="144"/>
              <w:rPr>
                <w:sz w:val="20"/>
                <w:szCs w:val="20"/>
              </w:rPr>
            </w:pPr>
            <w:r w:rsidRPr="007C0B24">
              <w:rPr>
                <w:sz w:val="20"/>
                <w:szCs w:val="20"/>
              </w:rPr>
              <w:t>Разработени методики, въведени в образователния процес,</w:t>
            </w:r>
            <w:r w:rsidR="00D10F87">
              <w:rPr>
                <w:sz w:val="20"/>
                <w:szCs w:val="20"/>
                <w:lang w:val="en-US"/>
              </w:rPr>
              <w:t xml:space="preserve"> </w:t>
            </w:r>
            <w:r w:rsidRPr="007C0B24">
              <w:rPr>
                <w:sz w:val="20"/>
                <w:szCs w:val="20"/>
              </w:rPr>
              <w:t>обучени ученици</w:t>
            </w:r>
          </w:p>
          <w:p w:rsidR="000C071E" w:rsidRDefault="00F13C73" w:rsidP="00F13C73">
            <w:pPr>
              <w:pStyle w:val="TableParagraph"/>
              <w:spacing w:line="225" w:lineRule="exact"/>
              <w:ind w:left="144" w:right="144"/>
              <w:rPr>
                <w:sz w:val="20"/>
                <w:szCs w:val="20"/>
              </w:rPr>
            </w:pPr>
            <w:r w:rsidRPr="00370579">
              <w:rPr>
                <w:sz w:val="20"/>
                <w:szCs w:val="20"/>
              </w:rPr>
              <w:t>към 31.12.2022 г.:</w:t>
            </w:r>
          </w:p>
          <w:p w:rsidR="00F13C73" w:rsidRPr="00370579" w:rsidRDefault="00F13C73" w:rsidP="00F13C73">
            <w:pPr>
              <w:pStyle w:val="TableParagraph"/>
              <w:spacing w:line="225" w:lineRule="exact"/>
              <w:ind w:left="144" w:right="144"/>
              <w:rPr>
                <w:sz w:val="20"/>
                <w:szCs w:val="20"/>
              </w:rPr>
            </w:pPr>
            <w:r w:rsidRPr="00F13C7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370579">
              <w:rPr>
                <w:sz w:val="20"/>
                <w:szCs w:val="20"/>
              </w:rPr>
              <w:t>Проведено анкетно проучване относно кибертормоза и начините за справяне с него от ДАЗД в партньорство с Черноморска</w:t>
            </w:r>
            <w:r w:rsidR="00D10F87">
              <w:rPr>
                <w:sz w:val="20"/>
                <w:szCs w:val="20"/>
                <w:lang w:val="en-US"/>
              </w:rPr>
              <w:t xml:space="preserve"> </w:t>
            </w:r>
            <w:r w:rsidRPr="00370579">
              <w:rPr>
                <w:sz w:val="20"/>
                <w:szCs w:val="20"/>
              </w:rPr>
              <w:t>та академия за сигурност и Регионално управление на образованието – София град;</w:t>
            </w:r>
          </w:p>
          <w:p w:rsidR="00F13C73" w:rsidRPr="00370579" w:rsidRDefault="00F13C73" w:rsidP="00F13C73">
            <w:pPr>
              <w:pStyle w:val="TableParagraph"/>
              <w:spacing w:line="225" w:lineRule="exact"/>
              <w:ind w:left="144" w:right="144"/>
              <w:rPr>
                <w:sz w:val="20"/>
                <w:szCs w:val="20"/>
              </w:rPr>
            </w:pPr>
            <w:r w:rsidRPr="00370579">
              <w:rPr>
                <w:sz w:val="20"/>
                <w:szCs w:val="20"/>
              </w:rPr>
              <w:t>• Организиран майсторски клас „Иновации и отговорности в дигиталния свят с децата“ от ДАЗД заедно с ПУ „Паисий Хилендарски“, МОН и РУО-София град;</w:t>
            </w:r>
          </w:p>
          <w:p w:rsidR="00F13C73" w:rsidRPr="00D642AD" w:rsidRDefault="00F13C73" w:rsidP="00F13C73">
            <w:pPr>
              <w:pStyle w:val="TableParagraph"/>
              <w:spacing w:line="225" w:lineRule="exact"/>
              <w:ind w:left="144" w:right="144"/>
              <w:rPr>
                <w:sz w:val="20"/>
                <w:szCs w:val="20"/>
              </w:rPr>
            </w:pPr>
            <w:r w:rsidRPr="00370579">
              <w:rPr>
                <w:sz w:val="20"/>
                <w:szCs w:val="20"/>
              </w:rPr>
              <w:t>• Проведен семинар на тема „Правата на децата в цифрова среда и практики по превенция на насилието“ в партньорство със СУ „Св. Климент Охридски“, БАН и др.;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3" w:rsidRPr="00FA1635" w:rsidRDefault="00F13C73" w:rsidP="00F13C73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F13C73">
              <w:rPr>
                <w:sz w:val="20"/>
                <w:szCs w:val="20"/>
              </w:rPr>
              <w:t>Разработена методика, въведени в образователния процес; обучени поне 150 ученици с преизпълнен обхват на над 1000 достигнати деца и ученици.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3" w:rsidRPr="00FA1635" w:rsidRDefault="00F13C73" w:rsidP="00F13C73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Университети; ДАЗД;</w:t>
            </w:r>
          </w:p>
          <w:p w:rsidR="00F13C73" w:rsidRPr="00FA1635" w:rsidRDefault="00F13C73" w:rsidP="00F13C73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МОН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3" w:rsidRPr="00FA1635" w:rsidRDefault="00F13C73" w:rsidP="00F13C73">
            <w:pPr>
              <w:spacing w:before="17" w:after="0" w:line="229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изпълнява се</w:t>
            </w:r>
          </w:p>
        </w:tc>
      </w:tr>
      <w:tr w:rsidR="00F13C73" w:rsidRPr="00FA1635" w:rsidTr="00F13C73">
        <w:trPr>
          <w:trHeight w:val="1840"/>
        </w:trPr>
        <w:tc>
          <w:tcPr>
            <w:tcW w:w="1713" w:type="dxa"/>
            <w:vMerge/>
          </w:tcPr>
          <w:p w:rsidR="00F13C73" w:rsidRPr="00FA1635" w:rsidRDefault="00F13C73" w:rsidP="00F1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3" w:rsidRPr="00FA1635" w:rsidRDefault="00F13C73" w:rsidP="00F13C73">
            <w:pPr>
              <w:spacing w:after="0" w:line="240" w:lineRule="auto"/>
              <w:ind w:left="108" w:right="12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  <w:t>3. Създаване на информационни събития и кампании от членовете на Съвета на децата към ДАЗД за промотиране на цифрова компетентност и защита на правата на децата в цифровата среда.</w:t>
            </w:r>
          </w:p>
          <w:p w:rsidR="00F13C73" w:rsidRPr="00FA1635" w:rsidRDefault="00F13C73" w:rsidP="00F13C73">
            <w:pPr>
              <w:spacing w:after="0" w:line="240" w:lineRule="auto"/>
              <w:ind w:left="108" w:right="12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3" w:rsidRPr="00FA1635" w:rsidRDefault="00F13C73" w:rsidP="00F13C73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Бюджет на ДАЗД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3" w:rsidRPr="00FA1635" w:rsidRDefault="00F13C73" w:rsidP="00F13C73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постоянен</w:t>
            </w:r>
          </w:p>
          <w:p w:rsidR="00F13C73" w:rsidRPr="00FA1635" w:rsidRDefault="00F13C73" w:rsidP="00F13C73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срок</w:t>
            </w:r>
          </w:p>
          <w:p w:rsidR="00F13C73" w:rsidRPr="00FA1635" w:rsidRDefault="00F13C73" w:rsidP="00F13C73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bg-BG" w:eastAsia="bg-BG" w:bidi="bg-BG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91A" w:rsidRPr="0055591A" w:rsidRDefault="0055591A" w:rsidP="0055591A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5591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Проведени информационни</w:t>
            </w:r>
          </w:p>
          <w:p w:rsidR="00F13C73" w:rsidRPr="00FA1635" w:rsidRDefault="0055591A" w:rsidP="0055591A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55591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събития, реализирани информационни кампании. Към 31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кември </w:t>
            </w:r>
            <w:r w:rsidRPr="0055591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2022:</w:t>
            </w:r>
            <w:r w:rsidR="00F13C73"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През 2022 г. Съветът на децата към председателя на Държавната агенция за закрила на детето (ДАЗД) се запозна и участва в кампанията „Пази детето в Интернет“, която има за цел да осигури защита за децата, както и да изгради у тях умения за безопасно ползване на Интернет, превенция на онлайн тормоза.</w:t>
            </w:r>
          </w:p>
          <w:p w:rsidR="00F13C73" w:rsidRPr="00FA1635" w:rsidRDefault="00F13C73" w:rsidP="00C550BC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Държавната агенция за закрила на детето е официален партньор на кампанията „Пази детето в Интернет“. По време на проведено заседание, членовете на Съвета на децата участваха в дискутираха върху темата за защитата от насилие и достъпа до безопасно използване на технологии за всички деца.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0B" w:rsidRPr="0004089C" w:rsidRDefault="002C520B" w:rsidP="00410766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 w:rsidRPr="0004089C">
              <w:rPr>
                <w:sz w:val="20"/>
                <w:szCs w:val="20"/>
              </w:rPr>
              <w:t>Проведени минимум 3 информационни</w:t>
            </w:r>
          </w:p>
          <w:p w:rsidR="00F13C73" w:rsidRPr="00FA1635" w:rsidRDefault="002C520B" w:rsidP="002C520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04089C">
              <w:rPr>
                <w:rFonts w:ascii="Times New Roman" w:hAnsi="Times New Roman" w:cs="Times New Roman"/>
                <w:sz w:val="20"/>
                <w:szCs w:val="20"/>
              </w:rPr>
              <w:t>събития и реализирани поне 2 информационни  кампании.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3" w:rsidRPr="00FA1635" w:rsidRDefault="00F13C73" w:rsidP="00410766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ДАЗД и Съвет </w:t>
            </w:r>
          </w:p>
          <w:p w:rsidR="00F13C73" w:rsidRPr="00FA1635" w:rsidRDefault="00F13C73" w:rsidP="00F13C73">
            <w:pPr>
              <w:spacing w:before="17" w:after="0" w:line="229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на децата;</w:t>
            </w:r>
          </w:p>
          <w:p w:rsidR="00F13C73" w:rsidRPr="00FA1635" w:rsidRDefault="00F13C73" w:rsidP="00F13C73">
            <w:pPr>
              <w:spacing w:before="17" w:after="0" w:line="229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НПО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3" w:rsidRPr="00FA1635" w:rsidRDefault="00F13C73" w:rsidP="00410766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изпълнява се</w:t>
            </w:r>
          </w:p>
        </w:tc>
      </w:tr>
      <w:tr w:rsidR="00F13C73" w:rsidRPr="00FA1635" w:rsidTr="00F13C73">
        <w:trPr>
          <w:trHeight w:val="1840"/>
        </w:trPr>
        <w:tc>
          <w:tcPr>
            <w:tcW w:w="1713" w:type="dxa"/>
            <w:vMerge/>
          </w:tcPr>
          <w:p w:rsidR="00F13C73" w:rsidRPr="00FA1635" w:rsidRDefault="00F13C73" w:rsidP="00F1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3" w:rsidRPr="00FA1635" w:rsidRDefault="00F13C73" w:rsidP="004A62F7">
            <w:pPr>
              <w:spacing w:before="120" w:after="0" w:line="225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4. Борба със сексуалната</w:t>
            </w:r>
          </w:p>
          <w:p w:rsidR="00F13C73" w:rsidRPr="00FA1635" w:rsidRDefault="00F13C73" w:rsidP="00F13C73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експлоатация и злоупотреба с деца през компютърни</w:t>
            </w:r>
          </w:p>
          <w:p w:rsidR="00F13C73" w:rsidRPr="00FA1635" w:rsidRDefault="00F13C73" w:rsidP="00F13C73">
            <w:pPr>
              <w:spacing w:after="0" w:line="22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 w:bidi="bg-BG"/>
              </w:rPr>
              <w:t>системи</w:t>
            </w:r>
            <w:r w:rsidRPr="00FA1635">
              <w:rPr>
                <w:rFonts w:ascii="Times New Roman" w:eastAsia="Times New Roman" w:hAnsi="Times New Roman" w:cs="Times New Roman"/>
                <w:b/>
                <w:bCs/>
                <w:lang w:val="bg-BG" w:eastAsia="bg-BG" w:bidi="bg-BG"/>
              </w:rPr>
              <w:t>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3" w:rsidRPr="00FA1635" w:rsidRDefault="00533031" w:rsidP="004A62F7">
            <w:pPr>
              <w:spacing w:before="120"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 xml:space="preserve">Бюджет на организацията Програма Цифрова Европа </w:t>
            </w:r>
            <w:bookmarkStart w:id="2" w:name="_GoBack"/>
            <w:bookmarkEnd w:id="2"/>
            <w:r w:rsidR="00F13C73"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3" w:rsidRPr="00FA1635" w:rsidRDefault="00F13C73" w:rsidP="004A62F7">
            <w:pPr>
              <w:spacing w:before="120" w:after="0" w:line="226" w:lineRule="exact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Постоянна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0B" w:rsidRPr="00F81386" w:rsidRDefault="002C520B" w:rsidP="004A62F7">
            <w:pPr>
              <w:pStyle w:val="TableParagraph"/>
              <w:spacing w:before="60"/>
              <w:ind w:left="115"/>
              <w:rPr>
                <w:sz w:val="20"/>
                <w:szCs w:val="20"/>
              </w:rPr>
            </w:pPr>
            <w:r w:rsidRPr="00F81386">
              <w:rPr>
                <w:sz w:val="20"/>
                <w:szCs w:val="20"/>
              </w:rPr>
              <w:t>Обработване и предприемане на действия по сигнали за незаконно</w:t>
            </w:r>
          </w:p>
          <w:p w:rsidR="002C520B" w:rsidRPr="0004089C" w:rsidRDefault="002C520B" w:rsidP="0004089C">
            <w:pPr>
              <w:pStyle w:val="TableParagraph"/>
              <w:spacing w:line="230" w:lineRule="atLeast"/>
              <w:ind w:right="122"/>
              <w:rPr>
                <w:sz w:val="20"/>
                <w:szCs w:val="20"/>
              </w:rPr>
            </w:pPr>
            <w:r w:rsidRPr="00F81386">
              <w:rPr>
                <w:sz w:val="20"/>
                <w:szCs w:val="20"/>
              </w:rPr>
              <w:t>и вредно за деца съдържание и поведение онлайн.</w:t>
            </w:r>
            <w:r w:rsidR="0004089C">
              <w:rPr>
                <w:sz w:val="20"/>
                <w:szCs w:val="20"/>
                <w:lang w:val="en-US"/>
              </w:rPr>
              <w:t xml:space="preserve"> U</w:t>
            </w:r>
            <w:proofErr w:type="spellStart"/>
            <w:r w:rsidRPr="00F81386">
              <w:rPr>
                <w:b/>
                <w:sz w:val="20"/>
                <w:szCs w:val="20"/>
              </w:rPr>
              <w:t>ъм</w:t>
            </w:r>
            <w:proofErr w:type="spellEnd"/>
            <w:r w:rsidRPr="00F81386">
              <w:rPr>
                <w:b/>
                <w:sz w:val="20"/>
                <w:szCs w:val="20"/>
              </w:rPr>
              <w:t xml:space="preserve"> 31.12.2022 г.:</w:t>
            </w:r>
          </w:p>
          <w:p w:rsidR="002C520B" w:rsidRPr="00F81386" w:rsidRDefault="002C520B" w:rsidP="002C520B">
            <w:pPr>
              <w:pStyle w:val="TableParagraph"/>
              <w:spacing w:line="230" w:lineRule="atLeast"/>
              <w:ind w:right="122"/>
              <w:rPr>
                <w:sz w:val="20"/>
                <w:szCs w:val="20"/>
              </w:rPr>
            </w:pPr>
            <w:r w:rsidRPr="00F81386">
              <w:rPr>
                <w:sz w:val="20"/>
                <w:szCs w:val="20"/>
              </w:rPr>
              <w:t xml:space="preserve">• По време на 36-тото онлайн заседание на Комитета </w:t>
            </w:r>
            <w:proofErr w:type="spellStart"/>
            <w:r w:rsidRPr="00F81386">
              <w:rPr>
                <w:sz w:val="20"/>
                <w:szCs w:val="20"/>
              </w:rPr>
              <w:t>Ланзароте</w:t>
            </w:r>
            <w:proofErr w:type="spellEnd"/>
            <w:r w:rsidRPr="00F81386">
              <w:rPr>
                <w:sz w:val="20"/>
                <w:szCs w:val="20"/>
              </w:rPr>
              <w:t xml:space="preserve"> се прие доклада  от втория кръг за наблюдение относно „Защитата на децата срещу сексуална експлоатация и сексуално насилие, улеснена от информационни и технологични средства“, чрез който се предоставят препоръки и насоки за справяне с предизвикателствата, породени от сексуални изображения и/или видеоклипове, създадени от деца;</w:t>
            </w:r>
          </w:p>
          <w:p w:rsidR="002C520B" w:rsidRPr="00F81386" w:rsidRDefault="002C520B" w:rsidP="002C520B">
            <w:pPr>
              <w:pStyle w:val="TableParagraph"/>
              <w:spacing w:line="230" w:lineRule="atLeast"/>
              <w:ind w:right="122"/>
              <w:rPr>
                <w:sz w:val="20"/>
                <w:szCs w:val="20"/>
              </w:rPr>
            </w:pPr>
            <w:r w:rsidRPr="00F81386">
              <w:rPr>
                <w:sz w:val="20"/>
                <w:szCs w:val="20"/>
              </w:rPr>
              <w:t xml:space="preserve">• Предоставяне на междуведомствена подкрепа за намиране на финансови механизми, които да продължат дейността на Националния център за безопасен интернет и поддържаната Националната телефонна линия за онлайн безопасност на деца 124 123 – </w:t>
            </w:r>
            <w:proofErr w:type="spellStart"/>
            <w:r w:rsidRPr="00F81386">
              <w:rPr>
                <w:sz w:val="20"/>
                <w:szCs w:val="20"/>
              </w:rPr>
              <w:t>safenet</w:t>
            </w:r>
            <w:proofErr w:type="spellEnd"/>
            <w:r w:rsidRPr="00F81386">
              <w:rPr>
                <w:sz w:val="20"/>
                <w:szCs w:val="20"/>
              </w:rPr>
              <w:t xml:space="preserve"> .</w:t>
            </w:r>
            <w:proofErr w:type="spellStart"/>
            <w:r w:rsidRPr="00F81386">
              <w:rPr>
                <w:sz w:val="20"/>
                <w:szCs w:val="20"/>
              </w:rPr>
              <w:t>bg</w:t>
            </w:r>
            <w:proofErr w:type="spellEnd"/>
            <w:r w:rsidRPr="00F81386">
              <w:rPr>
                <w:sz w:val="20"/>
                <w:szCs w:val="20"/>
              </w:rPr>
              <w:t xml:space="preserve">; </w:t>
            </w:r>
          </w:p>
          <w:p w:rsidR="00F13C73" w:rsidRPr="00FA1635" w:rsidRDefault="002C520B" w:rsidP="004A62F7">
            <w:pPr>
              <w:pStyle w:val="TableParagraph"/>
              <w:spacing w:line="230" w:lineRule="atLeast"/>
              <w:ind w:right="122"/>
              <w:rPr>
                <w:sz w:val="20"/>
                <w:szCs w:val="20"/>
              </w:rPr>
            </w:pPr>
            <w:r w:rsidRPr="00F81386">
              <w:rPr>
                <w:sz w:val="20"/>
                <w:szCs w:val="20"/>
              </w:rPr>
              <w:t xml:space="preserve">• Участие на ДАЗД в международно картографско проучване за наличието на услуги в страната, базирани на мултидисциплинарния и междуведомствен модел </w:t>
            </w:r>
            <w:proofErr w:type="spellStart"/>
            <w:r w:rsidRPr="00F81386">
              <w:rPr>
                <w:sz w:val="20"/>
                <w:szCs w:val="20"/>
              </w:rPr>
              <w:t>Барнахус</w:t>
            </w:r>
            <w:proofErr w:type="spellEnd"/>
            <w:r w:rsidRPr="00F81386">
              <w:rPr>
                <w:sz w:val="20"/>
                <w:szCs w:val="20"/>
              </w:rPr>
              <w:t>, Сини стаи и Адаптирани стаи за справяне с всякакъв вид сексуално насилие над деца, включително и в интернет пространството.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3" w:rsidRPr="00FA1635" w:rsidRDefault="00F13C73" w:rsidP="004A62F7">
            <w:pPr>
              <w:spacing w:before="60" w:after="0" w:line="240" w:lineRule="auto"/>
              <w:ind w:left="115" w:right="216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Обработване и предприемане на Действия по сигнали за незаконно</w:t>
            </w:r>
          </w:p>
          <w:p w:rsidR="00F13C73" w:rsidRPr="00FA1635" w:rsidRDefault="00F13C73" w:rsidP="00F13C73">
            <w:pPr>
              <w:spacing w:after="0" w:line="237" w:lineRule="auto"/>
              <w:ind w:left="108" w:right="343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 вредно за деца съдържание и Поведение онлайн.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3" w:rsidRPr="00FA1635" w:rsidRDefault="00F13C73" w:rsidP="004A62F7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ДАЗД; НПО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C73" w:rsidRPr="00FA1635" w:rsidRDefault="00F13C73" w:rsidP="004A62F7">
            <w:pPr>
              <w:spacing w:before="60" w:after="0" w:line="240" w:lineRule="auto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</w:pPr>
            <w:r w:rsidRPr="00FA163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 w:bidi="bg-BG"/>
              </w:rPr>
              <w:t>изпълнява се</w:t>
            </w:r>
          </w:p>
        </w:tc>
      </w:tr>
    </w:tbl>
    <w:p w:rsidR="00FA1635" w:rsidRPr="00FA1635" w:rsidRDefault="00FA1635" w:rsidP="00FA1635">
      <w:pPr>
        <w:spacing w:after="0" w:line="225" w:lineRule="exact"/>
        <w:rPr>
          <w:rFonts w:ascii="Times New Roman" w:eastAsia="Times New Roman" w:hAnsi="Times New Roman" w:cs="Times New Roman"/>
          <w:b/>
          <w:sz w:val="20"/>
          <w:szCs w:val="20"/>
          <w:lang w:val="bg-BG" w:eastAsia="bg-BG" w:bidi="bg-BG"/>
        </w:rPr>
        <w:sectPr w:rsidR="00FA1635" w:rsidRPr="00FA1635" w:rsidSect="005364BE">
          <w:pgSz w:w="16840" w:h="11910" w:orient="landscape"/>
          <w:pgMar w:top="992" w:right="420" w:bottom="1162" w:left="459" w:header="720" w:footer="896" w:gutter="0"/>
          <w:cols w:space="708"/>
        </w:sectPr>
      </w:pPr>
    </w:p>
    <w:p w:rsidR="00FA1635" w:rsidRPr="00591B07" w:rsidRDefault="00FA1635" w:rsidP="00866D57">
      <w:pPr>
        <w:spacing w:after="0" w:line="240" w:lineRule="auto"/>
        <w:rPr>
          <w:lang w:bidi="bg-BG"/>
        </w:rPr>
      </w:pPr>
    </w:p>
    <w:sectPr w:rsidR="00FA1635" w:rsidRPr="00591B07" w:rsidSect="00E62462">
      <w:pgSz w:w="16838" w:h="11906" w:orient="landscape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DB" w:rsidRDefault="00EB7ADB" w:rsidP="00060B24">
      <w:pPr>
        <w:spacing w:after="0" w:line="240" w:lineRule="auto"/>
      </w:pPr>
      <w:r>
        <w:separator/>
      </w:r>
    </w:p>
  </w:endnote>
  <w:endnote w:type="continuationSeparator" w:id="0">
    <w:p w:rsidR="00EB7ADB" w:rsidRDefault="00EB7ADB" w:rsidP="0006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214267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B24" w:rsidRPr="00060B24" w:rsidRDefault="00060B2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0B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0B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0B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3031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060B2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60B24" w:rsidRPr="00060B24" w:rsidRDefault="00060B2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DB" w:rsidRDefault="00EB7ADB" w:rsidP="00060B24">
      <w:pPr>
        <w:spacing w:after="0" w:line="240" w:lineRule="auto"/>
      </w:pPr>
      <w:r>
        <w:separator/>
      </w:r>
    </w:p>
  </w:footnote>
  <w:footnote w:type="continuationSeparator" w:id="0">
    <w:p w:rsidR="00EB7ADB" w:rsidRDefault="00EB7ADB" w:rsidP="00060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20D78"/>
    <w:multiLevelType w:val="hybridMultilevel"/>
    <w:tmpl w:val="BA004020"/>
    <w:lvl w:ilvl="0" w:tplc="EA9E67C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8" w:hanging="360"/>
      </w:pPr>
    </w:lvl>
    <w:lvl w:ilvl="2" w:tplc="0402001B" w:tentative="1">
      <w:start w:val="1"/>
      <w:numFmt w:val="lowerRoman"/>
      <w:lvlText w:val="%3."/>
      <w:lvlJc w:val="right"/>
      <w:pPr>
        <w:ind w:left="1948" w:hanging="180"/>
      </w:pPr>
    </w:lvl>
    <w:lvl w:ilvl="3" w:tplc="0402000F" w:tentative="1">
      <w:start w:val="1"/>
      <w:numFmt w:val="decimal"/>
      <w:lvlText w:val="%4."/>
      <w:lvlJc w:val="left"/>
      <w:pPr>
        <w:ind w:left="2668" w:hanging="360"/>
      </w:pPr>
    </w:lvl>
    <w:lvl w:ilvl="4" w:tplc="04020019" w:tentative="1">
      <w:start w:val="1"/>
      <w:numFmt w:val="lowerLetter"/>
      <w:lvlText w:val="%5."/>
      <w:lvlJc w:val="left"/>
      <w:pPr>
        <w:ind w:left="3388" w:hanging="360"/>
      </w:pPr>
    </w:lvl>
    <w:lvl w:ilvl="5" w:tplc="0402001B" w:tentative="1">
      <w:start w:val="1"/>
      <w:numFmt w:val="lowerRoman"/>
      <w:lvlText w:val="%6."/>
      <w:lvlJc w:val="right"/>
      <w:pPr>
        <w:ind w:left="4108" w:hanging="180"/>
      </w:pPr>
    </w:lvl>
    <w:lvl w:ilvl="6" w:tplc="0402000F" w:tentative="1">
      <w:start w:val="1"/>
      <w:numFmt w:val="decimal"/>
      <w:lvlText w:val="%7."/>
      <w:lvlJc w:val="left"/>
      <w:pPr>
        <w:ind w:left="4828" w:hanging="360"/>
      </w:pPr>
    </w:lvl>
    <w:lvl w:ilvl="7" w:tplc="04020019" w:tentative="1">
      <w:start w:val="1"/>
      <w:numFmt w:val="lowerLetter"/>
      <w:lvlText w:val="%8."/>
      <w:lvlJc w:val="left"/>
      <w:pPr>
        <w:ind w:left="5548" w:hanging="360"/>
      </w:pPr>
    </w:lvl>
    <w:lvl w:ilvl="8" w:tplc="0402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B6"/>
    <w:rsid w:val="0004089C"/>
    <w:rsid w:val="00050F5B"/>
    <w:rsid w:val="00060B24"/>
    <w:rsid w:val="0007135F"/>
    <w:rsid w:val="000C071E"/>
    <w:rsid w:val="000D5E59"/>
    <w:rsid w:val="00131355"/>
    <w:rsid w:val="00145D19"/>
    <w:rsid w:val="00180123"/>
    <w:rsid w:val="001A5FE3"/>
    <w:rsid w:val="001A6328"/>
    <w:rsid w:val="001F7F84"/>
    <w:rsid w:val="00234D8B"/>
    <w:rsid w:val="002758F9"/>
    <w:rsid w:val="00285203"/>
    <w:rsid w:val="002C2F95"/>
    <w:rsid w:val="002C520B"/>
    <w:rsid w:val="003026BD"/>
    <w:rsid w:val="0034485A"/>
    <w:rsid w:val="00352F1A"/>
    <w:rsid w:val="00384A97"/>
    <w:rsid w:val="003B394F"/>
    <w:rsid w:val="00410766"/>
    <w:rsid w:val="004255A7"/>
    <w:rsid w:val="004568CA"/>
    <w:rsid w:val="004A62F7"/>
    <w:rsid w:val="004C41DA"/>
    <w:rsid w:val="00510203"/>
    <w:rsid w:val="00533031"/>
    <w:rsid w:val="0055591A"/>
    <w:rsid w:val="00576474"/>
    <w:rsid w:val="00591B07"/>
    <w:rsid w:val="00611D4F"/>
    <w:rsid w:val="006A3BB6"/>
    <w:rsid w:val="006B32FE"/>
    <w:rsid w:val="00781EB6"/>
    <w:rsid w:val="007B074A"/>
    <w:rsid w:val="007E7F51"/>
    <w:rsid w:val="00804E2F"/>
    <w:rsid w:val="00824625"/>
    <w:rsid w:val="00866D57"/>
    <w:rsid w:val="00882464"/>
    <w:rsid w:val="008943BB"/>
    <w:rsid w:val="00897608"/>
    <w:rsid w:val="0094566E"/>
    <w:rsid w:val="009D2205"/>
    <w:rsid w:val="009F11D1"/>
    <w:rsid w:val="00A511C5"/>
    <w:rsid w:val="00A558AC"/>
    <w:rsid w:val="00A77797"/>
    <w:rsid w:val="00A91AF3"/>
    <w:rsid w:val="00AA6F80"/>
    <w:rsid w:val="00AF48B3"/>
    <w:rsid w:val="00B41E08"/>
    <w:rsid w:val="00B81478"/>
    <w:rsid w:val="00BB08F4"/>
    <w:rsid w:val="00C160A2"/>
    <w:rsid w:val="00C550BC"/>
    <w:rsid w:val="00C9486E"/>
    <w:rsid w:val="00CB2E5D"/>
    <w:rsid w:val="00CC45AA"/>
    <w:rsid w:val="00CF39CD"/>
    <w:rsid w:val="00D10F87"/>
    <w:rsid w:val="00D57A54"/>
    <w:rsid w:val="00D60D99"/>
    <w:rsid w:val="00D85BE6"/>
    <w:rsid w:val="00E2689A"/>
    <w:rsid w:val="00E62462"/>
    <w:rsid w:val="00E63417"/>
    <w:rsid w:val="00E80201"/>
    <w:rsid w:val="00E8247B"/>
    <w:rsid w:val="00EB1EC0"/>
    <w:rsid w:val="00EB7ADB"/>
    <w:rsid w:val="00EF4E47"/>
    <w:rsid w:val="00F06B3A"/>
    <w:rsid w:val="00F13C73"/>
    <w:rsid w:val="00F4024D"/>
    <w:rsid w:val="00F56C03"/>
    <w:rsid w:val="00F87973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AC6C"/>
  <w15:chartTrackingRefBased/>
  <w15:docId w15:val="{FCF3CF61-4A5C-4678-B909-A24C4BBC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00591B07"/>
    <w:pPr>
      <w:spacing w:after="0" w:line="240" w:lineRule="auto"/>
      <w:ind w:left="108"/>
    </w:pPr>
    <w:rPr>
      <w:rFonts w:ascii="Times New Roman" w:eastAsia="Times New Roman" w:hAnsi="Times New Roman" w:cs="Times New Roman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060B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B24"/>
  </w:style>
  <w:style w:type="paragraph" w:styleId="Footer">
    <w:name w:val="footer"/>
    <w:basedOn w:val="Normal"/>
    <w:link w:val="FooterChar"/>
    <w:uiPriority w:val="99"/>
    <w:unhideWhenUsed/>
    <w:rsid w:val="00060B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B24"/>
  </w:style>
  <w:style w:type="character" w:styleId="Hyperlink">
    <w:name w:val="Hyperlink"/>
    <w:basedOn w:val="DefaultParagraphFont"/>
    <w:uiPriority w:val="99"/>
    <w:unhideWhenUsed/>
    <w:rsid w:val="001801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ata.egov.bg/organisation/profile/dc6999c4-24ab-46a0-b32f-c8e884cf7b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titc.government.bg/gloss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9DB55-2529-4AC9-BC13-7D1815F1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Ilkova</dc:creator>
  <cp:keywords/>
  <dc:description/>
  <cp:lastModifiedBy>Emilia Ilkova</cp:lastModifiedBy>
  <cp:revision>77</cp:revision>
  <dcterms:created xsi:type="dcterms:W3CDTF">2022-12-29T14:18:00Z</dcterms:created>
  <dcterms:modified xsi:type="dcterms:W3CDTF">2023-02-09T15:20:00Z</dcterms:modified>
</cp:coreProperties>
</file>