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82" w:rsidRPr="001016E6" w:rsidRDefault="00083C82" w:rsidP="0057449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  <w:r w:rsidRPr="001016E6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Резюме на </w:t>
      </w:r>
      <w:r w:rsidR="00C94CA3" w:rsidRPr="001016E6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Насоките </w:t>
      </w:r>
      <w:r w:rsidRPr="001016E6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за </w:t>
      </w:r>
      <w:r w:rsidR="00C94CA3" w:rsidRPr="001016E6">
        <w:rPr>
          <w:rFonts w:ascii="Times New Roman" w:hAnsi="Times New Roman" w:cs="Times New Roman"/>
          <w:b/>
          <w:noProof/>
          <w:sz w:val="28"/>
          <w:szCs w:val="28"/>
          <w:lang w:val="bg-BG"/>
        </w:rPr>
        <w:t xml:space="preserve">политикоопределящите органи </w:t>
      </w:r>
      <w:r w:rsidRPr="001016E6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относно защитата на детето онлайн 2020 г</w:t>
      </w:r>
      <w:r w:rsidR="00C94CA3" w:rsidRPr="001016E6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.</w:t>
      </w:r>
    </w:p>
    <w:p w:rsidR="00B90293" w:rsidRPr="00410E90" w:rsidRDefault="00083C82" w:rsidP="0057449E">
      <w:pPr>
        <w:pStyle w:val="Heading1"/>
        <w:rPr>
          <w:b w:val="0"/>
          <w:noProof/>
          <w:lang w:val="bg-BG"/>
        </w:rPr>
      </w:pPr>
      <w:r w:rsidRPr="00410E90">
        <w:rPr>
          <w:noProof/>
          <w:lang w:val="bg-BG"/>
        </w:rPr>
        <w:t xml:space="preserve">Въведение </w:t>
      </w:r>
    </w:p>
    <w:p w:rsidR="001809D6" w:rsidRPr="001809D6" w:rsidRDefault="00C94CA3" w:rsidP="00E84229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Интернет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промени начина, по който живеем. Той е изцяло интегриран в живота на децата и младите хора, което прави невъзможно разглеждането на цифровия и физическия свят поотделно. Една трета от всички потребители 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Интернет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днес са деца и млади хора, 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УНИЦЕФ</w:t>
      </w:r>
      <w:r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>изчислява, че 71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 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>% от младите хора вече са онлайн. Цифровите технологии откриха много нови начини за</w:t>
      </w:r>
      <w:r w:rsidR="00954D7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общуване, игра</w:t>
      </w:r>
      <w:r w:rsidR="00546E27">
        <w:rPr>
          <w:rFonts w:ascii="Times New Roman" w:hAnsi="Times New Roman" w:cs="Times New Roman"/>
          <w:noProof/>
          <w:sz w:val="24"/>
          <w:szCs w:val="24"/>
          <w:lang w:val="bg-BG"/>
        </w:rPr>
        <w:t>ене</w:t>
      </w:r>
      <w:r w:rsidR="00954D7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на игри, наслаждаване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на музика и участие в широк спектър от културни, образователни и дейности за повишаване на уменията. Интернет може да осигури изключително важен достъп до здравни и образователни услуги, </w:t>
      </w:r>
      <w:r w:rsidR="00083C82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както и информация по теми, които са важни за младите хора, но може да са табу в техни</w:t>
      </w:r>
      <w:r w:rsidR="00954D73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те </w:t>
      </w:r>
      <w:r w:rsidR="00546E27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общности</w:t>
      </w:r>
      <w:r w:rsidR="00954D73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. Въпреки</w:t>
      </w:r>
      <w:r w:rsidR="00954D7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това, тъй 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както децата и младите хора често са в челните редици на </w:t>
      </w:r>
      <w:r w:rsidR="00546E27">
        <w:rPr>
          <w:rFonts w:ascii="Times New Roman" w:hAnsi="Times New Roman" w:cs="Times New Roman"/>
          <w:noProof/>
          <w:sz w:val="24"/>
          <w:szCs w:val="24"/>
          <w:lang w:val="bg-BG"/>
        </w:rPr>
        <w:t>въз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приемането и </w:t>
      </w:r>
      <w:r w:rsidR="00954D7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адаптирането към новите 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технологии </w:t>
      </w:r>
      <w:r w:rsidR="00954D73">
        <w:rPr>
          <w:rFonts w:ascii="Times New Roman" w:hAnsi="Times New Roman" w:cs="Times New Roman"/>
          <w:noProof/>
          <w:sz w:val="24"/>
          <w:szCs w:val="24"/>
          <w:lang w:val="bg-BG"/>
        </w:rPr>
        <w:t>за свързване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,</w:t>
      </w:r>
      <w:r w:rsidR="00954D7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заедно с възможностите и ползите, които носят, те също </w:t>
      </w:r>
      <w:r w:rsidR="00954D7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така 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>са изложени на редица заплахи и вреди от съдържание, контакти и поведение онлайн. Важно е политиците да оценят тези заплахи и вреди при формулирането на политически отговори. Правителствата, ИКТ индустрията и гражданското общество трябва да работят с деца</w:t>
      </w:r>
      <w:r w:rsidR="00546E27">
        <w:rPr>
          <w:rFonts w:ascii="Times New Roman" w:hAnsi="Times New Roman" w:cs="Times New Roman"/>
          <w:noProof/>
          <w:sz w:val="24"/>
          <w:szCs w:val="24"/>
          <w:lang w:val="bg-BG"/>
        </w:rPr>
        <w:t>та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и млади хора, за да разберат техните перспективи и да предизвикат истински обществен дебат относно рисковете и възможностите.</w:t>
      </w:r>
      <w:r w:rsidR="00954D7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Подкрепата з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>а деца</w:t>
      </w:r>
      <w:r w:rsidR="00546E27">
        <w:rPr>
          <w:rFonts w:ascii="Times New Roman" w:hAnsi="Times New Roman" w:cs="Times New Roman"/>
          <w:noProof/>
          <w:sz w:val="24"/>
          <w:szCs w:val="24"/>
          <w:lang w:val="bg-BG"/>
        </w:rPr>
        <w:t>та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и млади</w:t>
      </w:r>
      <w:r w:rsidR="00546E27">
        <w:rPr>
          <w:rFonts w:ascii="Times New Roman" w:hAnsi="Times New Roman" w:cs="Times New Roman"/>
          <w:noProof/>
          <w:sz w:val="24"/>
          <w:szCs w:val="24"/>
          <w:lang w:val="bg-BG"/>
        </w:rPr>
        <w:t>те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хора</w:t>
      </w:r>
      <w:r w:rsidR="00546E27">
        <w:rPr>
          <w:rFonts w:ascii="Times New Roman" w:hAnsi="Times New Roman" w:cs="Times New Roman"/>
          <w:noProof/>
          <w:sz w:val="24"/>
          <w:szCs w:val="24"/>
          <w:lang w:val="bg-BG"/>
        </w:rPr>
        <w:t>,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954D7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 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да управляват онлайн </w:t>
      </w:r>
      <w:r w:rsidR="00954D73">
        <w:rPr>
          <w:rFonts w:ascii="Times New Roman" w:hAnsi="Times New Roman" w:cs="Times New Roman"/>
          <w:noProof/>
          <w:sz w:val="24"/>
          <w:szCs w:val="24"/>
          <w:lang w:val="bg-BG"/>
        </w:rPr>
        <w:t>рисковете може да бъде ефикасна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>, но</w:t>
      </w:r>
      <w:r w:rsidR="00546E2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правителствата трябва 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>да гарантират, че им</w:t>
      </w:r>
      <w:r w:rsidR="00546E27">
        <w:rPr>
          <w:rFonts w:ascii="Times New Roman" w:hAnsi="Times New Roman" w:cs="Times New Roman"/>
          <w:noProof/>
          <w:sz w:val="24"/>
          <w:szCs w:val="24"/>
          <w:lang w:val="bg-BG"/>
        </w:rPr>
        <w:t>а подходящи услуги за подкрепа н</w:t>
      </w:r>
      <w:r w:rsidR="00083C82" w:rsidRPr="00B90293">
        <w:rPr>
          <w:rFonts w:ascii="Times New Roman" w:hAnsi="Times New Roman" w:cs="Times New Roman"/>
          <w:noProof/>
          <w:sz w:val="24"/>
          <w:szCs w:val="24"/>
          <w:lang w:val="bg-BG"/>
        </w:rPr>
        <w:t>а тези, които изпитват вреда онлайн, и че децата са наясно как да получат достъп до тези услуги</w:t>
      </w:r>
      <w:r w:rsidR="001809D6">
        <w:rPr>
          <w:rFonts w:ascii="Times New Roman" w:hAnsi="Times New Roman" w:cs="Times New Roman"/>
          <w:noProof/>
          <w:sz w:val="24"/>
          <w:szCs w:val="24"/>
          <w:lang w:val="bg-BG"/>
        </w:rPr>
        <w:t>.</w:t>
      </w:r>
    </w:p>
    <w:p w:rsidR="001809D6" w:rsidRPr="00973C25" w:rsidRDefault="001809D6" w:rsidP="0057449E">
      <w:pPr>
        <w:pStyle w:val="Heading1"/>
        <w:rPr>
          <w:lang w:val="bg-BG"/>
        </w:rPr>
      </w:pPr>
      <w:bookmarkStart w:id="0" w:name="_GoBack"/>
      <w:r w:rsidRPr="00973C25">
        <w:rPr>
          <w:lang w:val="bg-BG"/>
        </w:rPr>
        <w:t>1</w:t>
      </w:r>
      <w:r w:rsidR="00E861BC" w:rsidRPr="00973C25">
        <w:rPr>
          <w:lang w:val="bg-BG"/>
        </w:rPr>
        <w:t>.</w:t>
      </w:r>
      <w:r w:rsidRPr="00973C25">
        <w:rPr>
          <w:lang w:val="bg-BG"/>
        </w:rPr>
        <w:tab/>
        <w:t>Какво представлява защитата на детето онлайн?</w:t>
      </w:r>
    </w:p>
    <w:bookmarkEnd w:id="0"/>
    <w:p w:rsidR="00410E90" w:rsidRPr="00B90293" w:rsidRDefault="00C94CA3" w:rsidP="00E84229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Защитата </w:t>
      </w:r>
      <w:r w:rsidR="001809D6"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на децата онлайн е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цялостен</w:t>
      </w: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1809D6"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>подход за реагиране на всички потенциални заплахи и вреди, с които децата и младите хора могат да се сблъскат онлайн. Отговорност на всеки е да</w:t>
      </w:r>
      <w:r w:rsidR="001809D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защитава децата от тези вреди.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1809D6"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В контекста 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защитата</w:t>
      </w: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1809D6"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>на децата онлайн, въпреки че повечето деца ще бъдат податливи под една или друга форма на онлайн заплахи и вреди, е важно да се оцени, че някои деца са особено уязвими, особено децата мигранти или децата, живеещи с форма на увреждане.</w:t>
      </w:r>
    </w:p>
    <w:p w:rsidR="001809D6" w:rsidRPr="00410E90" w:rsidRDefault="001809D6" w:rsidP="00E84229">
      <w:pPr>
        <w:pStyle w:val="Heading1"/>
        <w:rPr>
          <w:noProof/>
          <w:lang w:val="bg-BG"/>
        </w:rPr>
      </w:pPr>
      <w:r w:rsidRPr="00410E90">
        <w:rPr>
          <w:noProof/>
          <w:lang w:val="bg-BG"/>
        </w:rPr>
        <w:t>2</w:t>
      </w:r>
      <w:r w:rsidR="00E861BC" w:rsidRPr="00410E90">
        <w:rPr>
          <w:noProof/>
          <w:lang w:val="bg-BG"/>
        </w:rPr>
        <w:t>.</w:t>
      </w:r>
      <w:r w:rsidRPr="00410E90">
        <w:rPr>
          <w:noProof/>
          <w:lang w:val="bg-BG"/>
        </w:rPr>
        <w:tab/>
        <w:t>Подготовка на национална стратегия за защита на децата онлайн</w:t>
      </w:r>
    </w:p>
    <w:p w:rsidR="001809D6" w:rsidRPr="001809D6" w:rsidRDefault="001809D6" w:rsidP="00C94CA3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>При разработването на национална стратегия за насърчаване на безопасността онлайн</w:t>
      </w:r>
      <w:r w:rsidR="00C94CA3">
        <w:rPr>
          <w:rFonts w:ascii="Times New Roman" w:hAnsi="Times New Roman" w:cs="Times New Roman"/>
          <w:noProof/>
          <w:sz w:val="24"/>
          <w:szCs w:val="24"/>
          <w:lang w:val="bg-BG"/>
        </w:rPr>
        <w:t>,</w:t>
      </w: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създателите на политики следва да</w:t>
      </w:r>
      <w:r w:rsidR="00546E2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вземат предвид редица аспекти.</w:t>
      </w:r>
      <w:r w:rsidR="00C94CA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>Първоначално те следва да идентифицират и да се ангажират със следните заинтересовани страни, за да разберат техния опит, възприятия, мнения, заедно със своите съществуващи дейности и интервенции</w:t>
      </w:r>
      <w:r w:rsidR="00C94CA3">
        <w:rPr>
          <w:rFonts w:ascii="Times New Roman" w:hAnsi="Times New Roman" w:cs="Times New Roman"/>
          <w:noProof/>
          <w:sz w:val="24"/>
          <w:szCs w:val="24"/>
          <w:lang w:val="bg-BG"/>
        </w:rPr>
        <w:t>:</w:t>
      </w:r>
    </w:p>
    <w:p w:rsidR="001809D6" w:rsidRPr="001809D6" w:rsidRDefault="001809D6" w:rsidP="00C94CA3">
      <w:pPr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>•</w:t>
      </w: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Деца и млади хора</w:t>
      </w:r>
    </w:p>
    <w:p w:rsidR="001809D6" w:rsidRPr="001809D6" w:rsidRDefault="001809D6" w:rsidP="00C94CA3">
      <w:pPr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>•</w:t>
      </w: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Родители, настойници и възпитатели</w:t>
      </w:r>
    </w:p>
    <w:p w:rsidR="001809D6" w:rsidRPr="001809D6" w:rsidRDefault="001809D6" w:rsidP="00C94CA3">
      <w:pPr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>•</w:t>
      </w: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="00546E2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Правителствени </w:t>
      </w:r>
      <w:r w:rsidR="00C94CA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институции </w:t>
      </w:r>
    </w:p>
    <w:p w:rsidR="001809D6" w:rsidRPr="001809D6" w:rsidRDefault="001809D6" w:rsidP="00C94CA3">
      <w:pPr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>•</w:t>
      </w: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Промишленост и доставчици на свързаност</w:t>
      </w:r>
    </w:p>
    <w:p w:rsidR="001809D6" w:rsidRPr="001809D6" w:rsidRDefault="001809D6" w:rsidP="00C94CA3">
      <w:pPr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lastRenderedPageBreak/>
        <w:t>•</w:t>
      </w: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Научни изследвания и академични среди</w:t>
      </w:r>
    </w:p>
    <w:p w:rsidR="001809D6" w:rsidRPr="001809D6" w:rsidRDefault="001809D6" w:rsidP="00C94CA3">
      <w:pPr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>•</w:t>
      </w: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Неправителствени организации</w:t>
      </w:r>
    </w:p>
    <w:p w:rsidR="001809D6" w:rsidRPr="001809D6" w:rsidRDefault="001809D6" w:rsidP="00C94CA3">
      <w:pPr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>•</w:t>
      </w: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Правоприлагане</w:t>
      </w:r>
    </w:p>
    <w:p w:rsidR="00083C82" w:rsidRDefault="001809D6" w:rsidP="00C94CA3">
      <w:pPr>
        <w:spacing w:after="12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>•</w:t>
      </w:r>
      <w:r w:rsidRPr="001809D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Здравни и социални услуги</w:t>
      </w:r>
    </w:p>
    <w:p w:rsidR="008E5E3C" w:rsidRPr="00B90293" w:rsidRDefault="008E5E3C" w:rsidP="001E46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E50D4" w:rsidRDefault="00BE50D4" w:rsidP="00C94CA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E50D4">
        <w:rPr>
          <w:rFonts w:ascii="Times New Roman" w:hAnsi="Times New Roman" w:cs="Times New Roman"/>
          <w:noProof/>
          <w:sz w:val="24"/>
          <w:szCs w:val="24"/>
          <w:lang w:val="bg-BG"/>
        </w:rPr>
        <w:t>Вероятно сред участниците и заинтересованите стр</w:t>
      </w:r>
      <w:r w:rsidR="001E4626">
        <w:rPr>
          <w:rFonts w:ascii="Times New Roman" w:hAnsi="Times New Roman" w:cs="Times New Roman"/>
          <w:noProof/>
          <w:sz w:val="24"/>
          <w:szCs w:val="24"/>
          <w:lang w:val="bg-BG"/>
        </w:rPr>
        <w:t>ани вече съществуват дейности</w:t>
      </w:r>
      <w:r w:rsidRPr="00BE50D4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с цел з</w:t>
      </w:r>
      <w:r w:rsidR="001E4626">
        <w:rPr>
          <w:rFonts w:ascii="Times New Roman" w:hAnsi="Times New Roman" w:cs="Times New Roman"/>
          <w:noProof/>
          <w:sz w:val="24"/>
          <w:szCs w:val="24"/>
          <w:lang w:val="bg-BG"/>
        </w:rPr>
        <w:t>ащита на децата онлайн, но те се извършват</w:t>
      </w:r>
      <w:r w:rsidRPr="00BE50D4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изолирано. Важно е да се разберат и оценят съществуващите усилия в разработването на националната стратегия за закрила на децата онлайн. Стратегията следва да има за цел да коор</w:t>
      </w:r>
      <w:r w:rsidR="001E462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динира и насочва усилията чрез организиране </w:t>
      </w:r>
      <w:r w:rsidRPr="00BE50D4">
        <w:rPr>
          <w:rFonts w:ascii="Times New Roman" w:hAnsi="Times New Roman" w:cs="Times New Roman"/>
          <w:noProof/>
          <w:sz w:val="24"/>
          <w:szCs w:val="24"/>
          <w:lang w:val="bg-BG"/>
        </w:rPr>
        <w:t>както на съществуващи, така и на нови дейности. Страте</w:t>
      </w:r>
      <w:r w:rsidR="001E462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гията следва да бъде включена в </w:t>
      </w:r>
      <w:r w:rsidRPr="00BE50D4">
        <w:rPr>
          <w:rFonts w:ascii="Times New Roman" w:hAnsi="Times New Roman" w:cs="Times New Roman"/>
          <w:noProof/>
          <w:sz w:val="24"/>
          <w:szCs w:val="24"/>
          <w:lang w:val="bg-BG"/>
        </w:rPr>
        <w:t>съществуващите национални рамки или стратегически планове или да ги съпоставя. Наред с разбирането на дейностите и опита на различните участници и заинтересовани страни, от съществено значение е да се вземат предвид</w:t>
      </w:r>
      <w:r w:rsidR="001E462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обстоятелствата и отговорите в</w:t>
      </w:r>
      <w:r w:rsidRPr="00BE50D4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други държави. Налице са иновативни разработки и инициативи в регулаторния и институционален отговор на заплахите за безопасността и благосъстоянието на децата онлайн. Освен че оценява</w:t>
      </w:r>
      <w:r w:rsidR="001E4626">
        <w:rPr>
          <w:rFonts w:ascii="Times New Roman" w:hAnsi="Times New Roman" w:cs="Times New Roman"/>
          <w:noProof/>
          <w:sz w:val="24"/>
          <w:szCs w:val="24"/>
          <w:lang w:val="bg-BG"/>
        </w:rPr>
        <w:t>т</w:t>
      </w:r>
      <w:r w:rsidRPr="00BE50D4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това, което е възможно</w:t>
      </w:r>
      <w:r w:rsidRPr="001E462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, </w:t>
      </w:r>
      <w:r w:rsidR="001E4626" w:rsidRPr="001E462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те </w:t>
      </w:r>
      <w:r w:rsidRPr="00BE50D4">
        <w:rPr>
          <w:rFonts w:ascii="Times New Roman" w:hAnsi="Times New Roman" w:cs="Times New Roman"/>
          <w:noProof/>
          <w:sz w:val="24"/>
          <w:szCs w:val="24"/>
          <w:lang w:val="bg-BG"/>
        </w:rPr>
        <w:t>помага</w:t>
      </w:r>
      <w:r w:rsidR="001E462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т </w:t>
      </w:r>
      <w:r w:rsidR="001E4626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на </w:t>
      </w: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създателите на политики да </w:t>
      </w:r>
      <w:r w:rsidR="00C94CA3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преразглеждат</w:t>
      </w:r>
      <w:r w:rsidR="001E4626" w:rsidRPr="00FA387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съществуващите разпоредби и потенциал</w:t>
      </w:r>
      <w:r w:rsidR="00C94CA3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,</w:t>
      </w: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и да идентифицират областите</w:t>
      </w:r>
      <w:r w:rsidRPr="00BE50D4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на трансгранично сътрудничество и ангажираност. Редица от тези национални и международни инициативи и развития са отбелязани в настоящите </w:t>
      </w:r>
      <w:r w:rsidR="00C94CA3">
        <w:rPr>
          <w:rFonts w:ascii="Times New Roman" w:hAnsi="Times New Roman" w:cs="Times New Roman"/>
          <w:noProof/>
          <w:sz w:val="24"/>
          <w:szCs w:val="24"/>
          <w:lang w:val="bg-BG"/>
        </w:rPr>
        <w:t>Насоки</w:t>
      </w:r>
      <w:r w:rsidRPr="00BE50D4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. </w:t>
      </w:r>
    </w:p>
    <w:p w:rsidR="006372B5" w:rsidRPr="00E84229" w:rsidRDefault="00BE50D4" w:rsidP="00E8422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E50D4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Има ясни ползи от национална стратегия за защита на децата онлайн. Разработването на подходящо национално законодателство, свързаната с него правна рамка и в рамките на този подход </w:t>
      </w:r>
      <w:r w:rsidR="00E861BC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– </w:t>
      </w:r>
      <w:r w:rsidRPr="00BE50D4">
        <w:rPr>
          <w:rFonts w:ascii="Times New Roman" w:hAnsi="Times New Roman" w:cs="Times New Roman"/>
          <w:noProof/>
          <w:sz w:val="24"/>
          <w:szCs w:val="24"/>
          <w:lang w:val="bg-BG"/>
        </w:rPr>
        <w:t>хармонизирането на международно равнище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, </w:t>
      </w:r>
      <w:r w:rsidRPr="00BE50D4">
        <w:rPr>
          <w:rFonts w:ascii="Times New Roman" w:hAnsi="Times New Roman" w:cs="Times New Roman"/>
          <w:noProof/>
          <w:sz w:val="24"/>
          <w:szCs w:val="24"/>
          <w:lang w:val="bg-BG"/>
        </w:rPr>
        <w:t>са ключови стъпки за защита на децата онлайн. Тези рамки могат да бъдат саморегулиращи се, съвместно</w:t>
      </w:r>
      <w:r w:rsidR="001377A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регулиращи </w:t>
      </w: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или </w:t>
      </w:r>
      <w:r w:rsidR="00E861BC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всеобхватни </w:t>
      </w: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регулаторни рамки.</w:t>
      </w:r>
      <w:r w:rsidR="00083C82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</w:p>
    <w:p w:rsidR="00174765" w:rsidRPr="00FA3877" w:rsidRDefault="00174765" w:rsidP="00E84229">
      <w:pPr>
        <w:pStyle w:val="Heading1"/>
        <w:rPr>
          <w:noProof/>
          <w:lang w:val="bg-BG"/>
        </w:rPr>
      </w:pPr>
      <w:r w:rsidRPr="00FA3877">
        <w:rPr>
          <w:noProof/>
          <w:lang w:val="bg-BG"/>
        </w:rPr>
        <w:t>3</w:t>
      </w:r>
      <w:r w:rsidR="00E861BC" w:rsidRPr="00FA3877">
        <w:rPr>
          <w:noProof/>
          <w:lang w:val="bg-BG"/>
        </w:rPr>
        <w:t>.</w:t>
      </w:r>
      <w:r w:rsidR="00E861BC" w:rsidRPr="00FA3877">
        <w:rPr>
          <w:noProof/>
          <w:lang w:val="bg-BG"/>
        </w:rPr>
        <w:tab/>
      </w:r>
      <w:r w:rsidRPr="00FA3877">
        <w:rPr>
          <w:noProof/>
          <w:lang w:val="bg-BG"/>
        </w:rPr>
        <w:t>Общи препоръки</w:t>
      </w:r>
    </w:p>
    <w:p w:rsidR="00174765" w:rsidRPr="00FA3877" w:rsidRDefault="00174765" w:rsidP="00C94CA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С</w:t>
      </w:r>
      <w:r w:rsidR="00B6798B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лед запознаване със</w:t>
      </w: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съществуващите национални дейности, интервенции и рамки, заедно с примери от други държави, създателите на политики следва да бъдат в състояние да започнат да планират разработването на национална стратегия за закрила на децата онлайн.</w:t>
      </w:r>
    </w:p>
    <w:p w:rsidR="00174765" w:rsidRPr="00FA3877" w:rsidRDefault="00174765" w:rsidP="00C94CA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Тези </w:t>
      </w:r>
      <w:r w:rsidR="00C94CA3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Насоки</w:t>
      </w: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включват редица препоръки, които могат да бъдат разгледани, включително правните и политическите рамки.</w:t>
      </w:r>
    </w:p>
    <w:p w:rsidR="00174765" w:rsidRPr="00FA3877" w:rsidRDefault="00174765" w:rsidP="00E861B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Тези рамки следва да бъдат насочени към всички вреди, причинени на децата в цифровата среда, но същевременно това не следва да ограничава неоправдано правата на децата.</w:t>
      </w:r>
    </w:p>
    <w:p w:rsidR="00174765" w:rsidRPr="00FA3877" w:rsidRDefault="00174765" w:rsidP="00C94CA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Рамките следва да интегрират и да се позовават на съществуващите политически рамки.</w:t>
      </w:r>
    </w:p>
    <w:p w:rsidR="00174765" w:rsidRPr="00FA3877" w:rsidRDefault="00174765" w:rsidP="00C94CA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Рамките следва да обхващат по-специално сексуалната експлоатация на деца онлайн (включително материали, съдържащи сексуално насилие над деца), както и националното образование и очакванията за доставчиците</w:t>
      </w:r>
      <w:r w:rsidR="00E861BC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.</w:t>
      </w: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FA3877">
        <w:t xml:space="preserve"> </w:t>
      </w:r>
    </w:p>
    <w:p w:rsidR="00174765" w:rsidRPr="00FA3877" w:rsidRDefault="00174765" w:rsidP="00C94CA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Важно е в рамките да се описват подробно целите и да се определят критериите за оценка.</w:t>
      </w:r>
    </w:p>
    <w:p w:rsidR="00174765" w:rsidRPr="00FA3877" w:rsidRDefault="00174765" w:rsidP="00C94CA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Следва да се разработи механизъм с участието на множество заинтересовани страни, който да определя, координира и ръ</w:t>
      </w:r>
      <w:r w:rsidR="00B6798B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ководи националните дейности с помощта на</w:t>
      </w:r>
      <w:r w:rsidR="00C42077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C94CA3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Насоки</w:t>
      </w:r>
      <w:r w:rsidR="00C42077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те</w:t>
      </w:r>
      <w:r w:rsidR="00B6798B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з</w:t>
      </w: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а националната стратегия за закрила на децата онлайн. Този механизъм следва да бъде </w:t>
      </w: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lastRenderedPageBreak/>
        <w:t>сре</w:t>
      </w:r>
      <w:r w:rsidR="00E46DA8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дството, което обединява и организира </w:t>
      </w: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спектъра от национални участници и заинтересовани страни.</w:t>
      </w:r>
    </w:p>
    <w:p w:rsidR="006372B5" w:rsidRPr="00E84229" w:rsidRDefault="00174765" w:rsidP="00E8422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В тези </w:t>
      </w:r>
      <w:r w:rsidR="00C94CA3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Насоки</w:t>
      </w: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се </w:t>
      </w:r>
      <w:r w:rsidR="00E861BC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акцентира върху </w:t>
      </w:r>
      <w:r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редица допълнителни препоръки, които създателите на политики трябв</w:t>
      </w:r>
      <w:r w:rsidR="00E46DA8" w:rsidRPr="00FA3877">
        <w:rPr>
          <w:rFonts w:ascii="Times New Roman" w:hAnsi="Times New Roman" w:cs="Times New Roman"/>
          <w:noProof/>
          <w:sz w:val="24"/>
          <w:szCs w:val="24"/>
          <w:lang w:val="bg-BG"/>
        </w:rPr>
        <w:t>а да вземат</w:t>
      </w:r>
      <w:r w:rsidR="00E46DA8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предвид при </w:t>
      </w:r>
      <w:r w:rsidRPr="00174765">
        <w:rPr>
          <w:rFonts w:ascii="Times New Roman" w:hAnsi="Times New Roman" w:cs="Times New Roman"/>
          <w:noProof/>
          <w:sz w:val="24"/>
          <w:szCs w:val="24"/>
          <w:lang w:val="bg-BG"/>
        </w:rPr>
        <w:t>разработването на национална стратегия за закрила на децата онлайн.</w:t>
      </w:r>
    </w:p>
    <w:p w:rsidR="00BA4C49" w:rsidRDefault="0066371A" w:rsidP="00E84229">
      <w:pPr>
        <w:pStyle w:val="Heading1"/>
        <w:rPr>
          <w:noProof/>
          <w:lang w:val="bg-BG"/>
        </w:rPr>
      </w:pPr>
      <w:r w:rsidRPr="00410E90">
        <w:rPr>
          <w:noProof/>
          <w:lang w:val="bg-BG"/>
        </w:rPr>
        <w:t>4</w:t>
      </w:r>
      <w:r w:rsidR="00E861BC" w:rsidRPr="00410E90">
        <w:rPr>
          <w:noProof/>
          <w:lang w:val="bg-BG"/>
        </w:rPr>
        <w:t>.</w:t>
      </w:r>
      <w:r w:rsidR="00E861BC" w:rsidRPr="00410E90">
        <w:rPr>
          <w:noProof/>
          <w:lang w:val="bg-BG"/>
        </w:rPr>
        <w:tab/>
      </w:r>
      <w:r w:rsidRPr="00410E90">
        <w:rPr>
          <w:noProof/>
          <w:lang w:val="bg-BG"/>
        </w:rPr>
        <w:t>Национален контролен списък</w:t>
      </w:r>
    </w:p>
    <w:p w:rsidR="00E84229" w:rsidRPr="00E84229" w:rsidRDefault="00E84229" w:rsidP="00E84229">
      <w:pPr>
        <w:rPr>
          <w:lang w:val="bg-BG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4775"/>
      </w:tblGrid>
      <w:tr w:rsidR="0066371A" w:rsidTr="00DE58E3">
        <w:trPr>
          <w:trHeight w:hRule="exact" w:val="379"/>
          <w:tblHeader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5389"/>
            <w:vAlign w:val="bottom"/>
          </w:tcPr>
          <w:p w:rsidR="0066371A" w:rsidRPr="00026065" w:rsidRDefault="0066371A" w:rsidP="00DE58E3">
            <w:pPr>
              <w:pStyle w:val="Other10"/>
              <w:pBdr>
                <w:top w:val="single" w:sz="0" w:space="0" w:color="0C5389"/>
                <w:left w:val="single" w:sz="0" w:space="0" w:color="0C5389"/>
                <w:bottom w:val="single" w:sz="0" w:space="0" w:color="0C5389"/>
                <w:right w:val="single" w:sz="0" w:space="0" w:color="0C5389"/>
              </w:pBdr>
              <w:shd w:val="clear" w:color="auto" w:fill="0C5389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026065">
              <w:rPr>
                <w:rStyle w:val="Other1"/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val="bg-BG"/>
              </w:rPr>
              <w:t>Област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0C5389"/>
            <w:vAlign w:val="bottom"/>
          </w:tcPr>
          <w:p w:rsidR="0066371A" w:rsidRPr="00026065" w:rsidRDefault="0066371A" w:rsidP="00DE58E3">
            <w:pPr>
              <w:pStyle w:val="Other10"/>
              <w:pBdr>
                <w:top w:val="single" w:sz="0" w:space="0" w:color="0C5389"/>
                <w:left w:val="single" w:sz="0" w:space="0" w:color="0C5389"/>
                <w:bottom w:val="single" w:sz="0" w:space="0" w:color="0C5389"/>
                <w:right w:val="single" w:sz="0" w:space="0" w:color="0C5389"/>
              </w:pBdr>
              <w:shd w:val="clear" w:color="auto" w:fill="0C5389"/>
              <w:spacing w:after="0"/>
              <w:ind w:left="113" w:right="9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026065">
              <w:rPr>
                <w:rStyle w:val="Other1"/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val="bg-BG"/>
              </w:rPr>
              <w:t>Област за разглеждане</w:t>
            </w:r>
          </w:p>
        </w:tc>
      </w:tr>
      <w:tr w:rsidR="0066371A" w:rsidTr="00E861BC">
        <w:trPr>
          <w:trHeight w:hRule="exact" w:val="234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FD8E9"/>
          </w:tcPr>
          <w:p w:rsidR="0066371A" w:rsidRPr="00026065" w:rsidRDefault="0066371A" w:rsidP="001E4626">
            <w:pPr>
              <w:pStyle w:val="Other10"/>
              <w:spacing w:before="100"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Правна рамка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8E9"/>
            <w:vAlign w:val="center"/>
          </w:tcPr>
          <w:p w:rsidR="0066371A" w:rsidRPr="00026065" w:rsidRDefault="0066371A" w:rsidP="00DE58E3">
            <w:pPr>
              <w:pStyle w:val="Other10"/>
              <w:spacing w:after="0"/>
              <w:ind w:left="113" w:right="9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Преглед</w:t>
            </w:r>
            <w:r w:rsidR="00DE58E3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айте</w:t>
            </w: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 съществуващата правна рамка, з</w:t>
            </w:r>
            <w:r w:rsidR="00EC2402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а да се определи, че са налице</w:t>
            </w: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 всички необходими правни правомощия, за да се даде възможност на правоприлагащите органи и други съответни </w:t>
            </w:r>
            <w:r w:rsid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институции</w:t>
            </w:r>
            <w:r w:rsidR="00E861BC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 </w:t>
            </w: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да защитават лица под 18-годишна възраст онлайн на всички платформи, използващи </w:t>
            </w:r>
            <w:r w:rsidR="00C94CA3">
              <w:rPr>
                <w:rStyle w:val="Other1"/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Интернет</w:t>
            </w:r>
            <w:r w:rsidRPr="00026065">
              <w:rPr>
                <w:rStyle w:val="Other1"/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.</w:t>
            </w:r>
          </w:p>
        </w:tc>
      </w:tr>
      <w:tr w:rsidR="0066371A" w:rsidTr="00E861BC">
        <w:trPr>
          <w:trHeight w:hRule="exact" w:val="135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6371A" w:rsidRPr="00026065" w:rsidRDefault="0066371A" w:rsidP="00E861BC">
            <w:pPr>
              <w:pStyle w:val="Other10"/>
              <w:spacing w:after="0"/>
              <w:ind w:left="113" w:right="9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Да установи, </w:t>
            </w:r>
            <w:r w:rsidRPr="00E861BC">
              <w:rPr>
                <w:rStyle w:val="Other1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bg-BG"/>
              </w:rPr>
              <w:t>mutatis mutandis</w:t>
            </w: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, че всеки акт срещу дете, който е незаконен в реалния свят, е незаконен онлайн и че онлайн правилата за защита на данните и неприкосновеността на личния живот на децата също са адекватни.</w:t>
            </w:r>
          </w:p>
        </w:tc>
      </w:tr>
      <w:tr w:rsidR="0066371A" w:rsidTr="00E861BC">
        <w:trPr>
          <w:trHeight w:hRule="exact" w:val="1711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FD8E9"/>
          </w:tcPr>
          <w:p w:rsidR="0066371A" w:rsidRPr="00E861BC" w:rsidRDefault="0066371A" w:rsidP="00DE58E3">
            <w:pPr>
              <w:pStyle w:val="Other10"/>
              <w:spacing w:after="0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Регулаторна рамка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8E9"/>
            <w:vAlign w:val="center"/>
          </w:tcPr>
          <w:p w:rsidR="0066371A" w:rsidRPr="00E861BC" w:rsidRDefault="0066371A" w:rsidP="00DE58E3">
            <w:pPr>
              <w:pStyle w:val="Other10"/>
              <w:spacing w:after="0"/>
              <w:ind w:left="113" w:right="91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Обмислете развитието на регулаторната политика. Това може да включва разработване на политика за саморегу</w:t>
            </w:r>
            <w:r w:rsid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лиране или съвместно регулиране</w:t>
            </w: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, както и пълна регулаторна рамка.</w:t>
            </w:r>
          </w:p>
        </w:tc>
      </w:tr>
      <w:tr w:rsidR="0066371A" w:rsidTr="00E861BC">
        <w:trPr>
          <w:trHeight w:hRule="exact" w:val="1707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66371A" w:rsidRPr="00E861BC" w:rsidRDefault="0066371A" w:rsidP="001E4626">
            <w:pPr>
              <w:pStyle w:val="Other10"/>
              <w:spacing w:before="100" w:after="0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Докладване — незаконно съдържание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6371A" w:rsidRPr="00E861BC" w:rsidRDefault="00DE58E3" w:rsidP="00DE58E3">
            <w:pPr>
              <w:pStyle w:val="Other10"/>
              <w:spacing w:after="0"/>
              <w:ind w:left="113" w:right="91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Гарантирайте</w:t>
            </w:r>
            <w:r w:rsidR="0066371A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, че е създаден механизъм</w:t>
            </w:r>
            <w:r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,</w:t>
            </w:r>
            <w:r w:rsidR="0066371A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 </w:t>
            </w:r>
            <w:r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който </w:t>
            </w:r>
            <w:r w:rsidR="0066371A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се насърчава широко, за да се осигурят лесно разбираеми средства за докладване на разнообразието от незаконно съдържание, намиращо се в </w:t>
            </w:r>
            <w:r w:rsidR="00C94CA3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Интернет</w:t>
            </w:r>
            <w:r w:rsidR="0066371A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.</w:t>
            </w:r>
          </w:p>
        </w:tc>
      </w:tr>
      <w:tr w:rsidR="0066371A" w:rsidTr="00DE58E3">
        <w:trPr>
          <w:trHeight w:hRule="exact" w:val="1453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FD8E9"/>
          </w:tcPr>
          <w:p w:rsidR="0066371A" w:rsidRPr="00E861BC" w:rsidRDefault="0066371A" w:rsidP="001E4626">
            <w:pPr>
              <w:pStyle w:val="Other10"/>
              <w:spacing w:before="80" w:after="0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Докладване — опасения на потребителите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8E9"/>
            <w:vAlign w:val="center"/>
          </w:tcPr>
          <w:p w:rsidR="0066371A" w:rsidRPr="00E861BC" w:rsidRDefault="0066371A" w:rsidP="00DE58E3">
            <w:pPr>
              <w:pStyle w:val="Other10"/>
              <w:spacing w:after="0"/>
              <w:ind w:left="113" w:right="91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Промишлеността следва да предостави на потребителите възможност да съобщават за опасения и проблеми на своите </w:t>
            </w:r>
            <w:r w:rsidR="00DE58E3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потребитли</w:t>
            </w:r>
            <w:r w:rsidR="00DE58E3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 </w:t>
            </w: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и да реагират по съответния начин.</w:t>
            </w:r>
          </w:p>
        </w:tc>
      </w:tr>
      <w:tr w:rsidR="0066371A" w:rsidTr="00DE58E3">
        <w:trPr>
          <w:trHeight w:hRule="exact" w:val="1287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66371A" w:rsidRPr="00DE58E3" w:rsidRDefault="0066371A" w:rsidP="00DE58E3">
            <w:pPr>
              <w:pStyle w:val="Other10"/>
              <w:spacing w:before="100" w:after="0"/>
              <w:jc w:val="both"/>
              <w:rPr>
                <w:rStyle w:val="Other1"/>
                <w:rFonts w:ascii="Times New Roman" w:hAnsi="Times New Roman" w:cs="Times New Roman"/>
                <w:color w:val="auto"/>
                <w:sz w:val="24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Участници и заинтересовани страни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6371A" w:rsidRPr="00DE58E3" w:rsidRDefault="00DE58E3" w:rsidP="00DE58E3">
            <w:pPr>
              <w:pStyle w:val="Other10"/>
              <w:spacing w:after="0"/>
              <w:ind w:left="113" w:right="91"/>
              <w:jc w:val="both"/>
              <w:rPr>
                <w:rStyle w:val="Other1"/>
                <w:rFonts w:ascii="Times New Roman" w:hAnsi="Times New Roman" w:cs="Times New Roman"/>
                <w:color w:val="auto"/>
                <w:sz w:val="24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Ангажира</w:t>
            </w:r>
            <w:r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йте</w:t>
            </w: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 </w:t>
            </w:r>
            <w:r w:rsidR="0066371A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всички съответни национални заинтересовани страни с</w:t>
            </w:r>
            <w:r w:rsidR="00026065" w:rsidRPr="00DE58E3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 </w:t>
            </w:r>
            <w:r w:rsidR="0066371A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интерес към онлайн </w:t>
            </w:r>
            <w:r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защитата</w:t>
            </w: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 </w:t>
            </w:r>
            <w:r w:rsidR="0066371A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на децата.</w:t>
            </w:r>
          </w:p>
        </w:tc>
      </w:tr>
      <w:tr w:rsidR="0066371A" w:rsidRPr="00BA4C49" w:rsidTr="00DE58E3">
        <w:trPr>
          <w:trHeight w:hRule="exact" w:val="18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FD8E9"/>
          </w:tcPr>
          <w:p w:rsidR="0066371A" w:rsidRPr="00E861BC" w:rsidRDefault="0066371A" w:rsidP="001E4626">
            <w:pPr>
              <w:pStyle w:val="Other10"/>
              <w:spacing w:before="100" w:after="0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lastRenderedPageBreak/>
              <w:t>Изследвания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8E9"/>
            <w:vAlign w:val="center"/>
          </w:tcPr>
          <w:p w:rsidR="0066371A" w:rsidRPr="00E861BC" w:rsidRDefault="00DE58E3" w:rsidP="00DE58E3">
            <w:pPr>
              <w:pStyle w:val="Other10"/>
              <w:spacing w:after="0"/>
              <w:ind w:left="108" w:right="57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Предприемете</w:t>
            </w:r>
            <w:r w:rsidR="0066371A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 проучване на спектъра от национални участници и заинтересовани страни, за да определят своите мнения, опит, опасения и възможности по отношение на </w:t>
            </w:r>
            <w:r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защитата</w:t>
            </w: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 </w:t>
            </w:r>
            <w:r w:rsidR="0066371A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на децата онлайн.</w:t>
            </w:r>
          </w:p>
        </w:tc>
      </w:tr>
      <w:tr w:rsidR="0066371A" w:rsidRPr="00BA4C49" w:rsidTr="00DE58E3">
        <w:trPr>
          <w:trHeight w:hRule="exact" w:val="1561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66371A" w:rsidRPr="00E861BC" w:rsidRDefault="0066371A" w:rsidP="00753731">
            <w:pPr>
              <w:pStyle w:val="Other10"/>
              <w:spacing w:before="100" w:after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Образование</w:t>
            </w:r>
            <w:r w:rsidR="00753731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,</w:t>
            </w: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 цифрова грамотност и компетентност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6371A" w:rsidRPr="00E861BC" w:rsidRDefault="00DE58E3" w:rsidP="00DE58E3">
            <w:pPr>
              <w:pStyle w:val="Other10"/>
              <w:spacing w:after="0"/>
              <w:ind w:left="108" w:right="57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Разработ</w:t>
            </w:r>
            <w:r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ете</w:t>
            </w: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 </w:t>
            </w:r>
            <w:r w:rsidR="0066371A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функции за цифрова грамотност като част от всяка национална учебна програма, която е подходяща за възрастта и е приложима за всички деца.</w:t>
            </w:r>
          </w:p>
        </w:tc>
      </w:tr>
      <w:tr w:rsidR="00E46DA8" w:rsidRPr="00BA4C49" w:rsidTr="00DE58E3">
        <w:trPr>
          <w:trHeight w:hRule="exact" w:val="1981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FD8E9"/>
          </w:tcPr>
          <w:p w:rsidR="00E46DA8" w:rsidRPr="00E861BC" w:rsidRDefault="00E46DA8" w:rsidP="001E4626">
            <w:pPr>
              <w:pStyle w:val="Other10"/>
              <w:spacing w:before="80" w:after="0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Образователни ресурси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8E9"/>
            <w:vAlign w:val="center"/>
          </w:tcPr>
          <w:p w:rsidR="00E46DA8" w:rsidRPr="00E861BC" w:rsidRDefault="00DE58E3" w:rsidP="00DE58E3">
            <w:pPr>
              <w:pStyle w:val="Other10"/>
              <w:spacing w:after="0"/>
              <w:ind w:left="108" w:right="57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Разработ</w:t>
            </w:r>
            <w:r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ете</w:t>
            </w: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 </w:t>
            </w:r>
            <w:r w:rsidR="00E46DA8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съобщения и материали за безопасност в </w:t>
            </w:r>
            <w:r w:rsidR="00C94CA3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Интернет</w:t>
            </w:r>
            <w:r w:rsidR="00E46DA8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, които отразяват местните културни норми и закони и гарантират, че те се разпространяват ефективно и се представят по подходящ начин на всички ключови целеви аудитории.</w:t>
            </w:r>
          </w:p>
        </w:tc>
      </w:tr>
      <w:tr w:rsidR="00E46DA8" w:rsidRPr="00BA4C49" w:rsidTr="00DE58E3">
        <w:trPr>
          <w:trHeight w:hRule="exact" w:val="1981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46DA8" w:rsidRPr="00E861BC" w:rsidRDefault="00E46DA8" w:rsidP="001E4626">
            <w:pPr>
              <w:pStyle w:val="Other10"/>
              <w:spacing w:before="100" w:after="0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Закрила на детето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46DA8" w:rsidRPr="00E861BC" w:rsidRDefault="00DE58E3" w:rsidP="00E861BC">
            <w:pPr>
              <w:pStyle w:val="Other10"/>
              <w:spacing w:after="0"/>
              <w:ind w:left="62" w:right="85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Гарантирайте</w:t>
            </w:r>
            <w:r w:rsidR="00E46DA8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, че са въведени универсални и систематични механизми за закрила на детето, които задължават всички работещи с деца да идентифицират, реагират и съобщават за случаи на злоупотреба и вреди, които се случват онлайн.</w:t>
            </w:r>
          </w:p>
        </w:tc>
      </w:tr>
      <w:tr w:rsidR="00E46DA8" w:rsidRPr="00BA4C49" w:rsidTr="00DE58E3">
        <w:trPr>
          <w:trHeight w:hRule="exact" w:val="1441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FD8E9"/>
          </w:tcPr>
          <w:p w:rsidR="00E46DA8" w:rsidRPr="00E861BC" w:rsidRDefault="00E46DA8" w:rsidP="001E4626">
            <w:pPr>
              <w:pStyle w:val="Other10"/>
              <w:spacing w:before="80" w:after="0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Национална осведоменост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8E9"/>
            <w:vAlign w:val="center"/>
          </w:tcPr>
          <w:p w:rsidR="00E46DA8" w:rsidRPr="00E861BC" w:rsidRDefault="00DE58E3" w:rsidP="00DE58E3">
            <w:pPr>
              <w:pStyle w:val="Other10"/>
              <w:spacing w:after="0"/>
              <w:ind w:left="62" w:right="85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Организира</w:t>
            </w:r>
            <w:r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йте</w:t>
            </w: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 </w:t>
            </w:r>
            <w:r w:rsidR="00E46DA8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национални кампании за повишаване на осведомеността, за да се създаде възможност за универсално подчертаване на проблемите на</w:t>
            </w:r>
            <w:r w:rsidR="00753731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 xml:space="preserve"> </w:t>
            </w:r>
            <w:r w:rsidR="00E46DA8"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детската защита онлайн.</w:t>
            </w:r>
          </w:p>
        </w:tc>
      </w:tr>
      <w:tr w:rsidR="00E46DA8" w:rsidTr="00DE58E3">
        <w:trPr>
          <w:trHeight w:hRule="exact" w:val="1531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46DA8" w:rsidRPr="00E861BC" w:rsidRDefault="00E46DA8" w:rsidP="001E4626">
            <w:pPr>
              <w:pStyle w:val="Other10"/>
              <w:spacing w:before="100" w:after="0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Инструменти, услуги и настройки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46DA8" w:rsidRPr="00E861BC" w:rsidRDefault="00E46DA8" w:rsidP="00E861BC">
            <w:pPr>
              <w:pStyle w:val="Other10"/>
              <w:spacing w:after="0"/>
              <w:ind w:left="62" w:right="85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</w:pP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Помислете за ролята на настройките на устройствата, техническите инструменти (като програми за филтриране) и приложенията и настройките за защита на д</w:t>
            </w:r>
            <w:r w:rsid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етето, които могат да помогнат</w:t>
            </w:r>
            <w:r w:rsidRPr="00E861BC">
              <w:rPr>
                <w:rStyle w:val="Other1"/>
                <w:rFonts w:ascii="Times New Roman" w:hAnsi="Times New Roman" w:cs="Times New Roman"/>
                <w:noProof/>
                <w:color w:val="auto"/>
                <w:sz w:val="24"/>
                <w:szCs w:val="24"/>
                <w:lang w:val="bg-BG"/>
              </w:rPr>
              <w:t>.</w:t>
            </w:r>
          </w:p>
        </w:tc>
      </w:tr>
    </w:tbl>
    <w:p w:rsidR="0066371A" w:rsidRDefault="0066371A" w:rsidP="001E4626">
      <w:pPr>
        <w:jc w:val="both"/>
        <w:rPr>
          <w:rFonts w:ascii="Times New Roman" w:hAnsi="Times New Roman" w:cs="Times New Roman"/>
          <w:noProof/>
          <w:color w:val="0070C0"/>
          <w:sz w:val="24"/>
          <w:szCs w:val="24"/>
          <w:lang w:val="bg-BG"/>
        </w:rPr>
      </w:pPr>
    </w:p>
    <w:p w:rsidR="00BF3705" w:rsidRPr="00BF3705" w:rsidRDefault="00BF3705" w:rsidP="001E4626">
      <w:pPr>
        <w:spacing w:after="0" w:line="240" w:lineRule="auto"/>
        <w:jc w:val="both"/>
        <w:rPr>
          <w:rFonts w:ascii="Times New Roman" w:hAnsi="Times New Roman" w:cs="Times New Roman"/>
          <w:noProof/>
          <w:lang w:val="bg-BG"/>
        </w:rPr>
      </w:pPr>
      <w:r w:rsidRPr="00BF3705">
        <w:rPr>
          <w:rFonts w:ascii="Times New Roman" w:hAnsi="Times New Roman" w:cs="Times New Roman"/>
          <w:noProof/>
          <w:lang w:val="bg-BG"/>
        </w:rPr>
        <w:t>This translation was not created by the International Telecommunication Union (ITU) and should not be considered an official ITU translation.  The ITU shall not be liable for any conte</w:t>
      </w:r>
      <w:r>
        <w:rPr>
          <w:rFonts w:ascii="Times New Roman" w:hAnsi="Times New Roman" w:cs="Times New Roman"/>
          <w:noProof/>
          <w:lang w:val="bg-BG"/>
        </w:rPr>
        <w:t>nt or error in this translation.</w:t>
      </w:r>
    </w:p>
    <w:p w:rsidR="00BF3705" w:rsidRDefault="00BF3705" w:rsidP="00BF3705">
      <w:pPr>
        <w:spacing w:after="0" w:line="240" w:lineRule="auto"/>
        <w:jc w:val="both"/>
        <w:rPr>
          <w:rFonts w:ascii="Times New Roman" w:hAnsi="Times New Roman" w:cs="Times New Roman"/>
          <w:noProof/>
          <w:lang w:val="bg-BG"/>
        </w:rPr>
      </w:pPr>
    </w:p>
    <w:p w:rsidR="008E5E3C" w:rsidRPr="00BF3705" w:rsidRDefault="00BF3705" w:rsidP="00BF3705">
      <w:pPr>
        <w:spacing w:after="0" w:line="240" w:lineRule="auto"/>
        <w:jc w:val="both"/>
        <w:rPr>
          <w:rFonts w:ascii="Times New Roman" w:hAnsi="Times New Roman" w:cs="Times New Roman"/>
          <w:noProof/>
          <w:lang w:val="bg-BG"/>
        </w:rPr>
      </w:pPr>
      <w:r w:rsidRPr="00BF3705">
        <w:rPr>
          <w:rFonts w:ascii="Times New Roman" w:hAnsi="Times New Roman" w:cs="Times New Roman"/>
          <w:noProof/>
          <w:lang w:val="bg-BG"/>
        </w:rPr>
        <w:t>Този превод не е създаден от Международния съюз по далекосъобщения (МСД) и не трябва да се счита за официален превод на МСД.</w:t>
      </w:r>
      <w:r w:rsidRPr="00BF3705">
        <w:rPr>
          <w:rFonts w:ascii="Times New Roman" w:hAnsi="Times New Roman" w:cs="Times New Roman"/>
          <w:noProof/>
        </w:rPr>
        <w:t xml:space="preserve"> </w:t>
      </w:r>
      <w:r w:rsidRPr="00BF3705">
        <w:rPr>
          <w:rFonts w:ascii="Times New Roman" w:hAnsi="Times New Roman" w:cs="Times New Roman"/>
          <w:noProof/>
          <w:lang w:val="bg-BG"/>
        </w:rPr>
        <w:t>МСД не носи отговорност за съдъ</w:t>
      </w:r>
      <w:r>
        <w:rPr>
          <w:rFonts w:ascii="Times New Roman" w:hAnsi="Times New Roman" w:cs="Times New Roman"/>
          <w:noProof/>
          <w:lang w:val="bg-BG"/>
        </w:rPr>
        <w:t>ржание или грешки в този превод.</w:t>
      </w:r>
    </w:p>
    <w:sectPr w:rsidR="008E5E3C" w:rsidRPr="00BF3705" w:rsidSect="00BF3705">
      <w:footerReference w:type="default" r:id="rId8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49" w:rsidRDefault="00CF0349" w:rsidP="008E5E3C">
      <w:pPr>
        <w:spacing w:after="0" w:line="240" w:lineRule="auto"/>
      </w:pPr>
      <w:r>
        <w:separator/>
      </w:r>
    </w:p>
  </w:endnote>
  <w:endnote w:type="continuationSeparator" w:id="0">
    <w:p w:rsidR="00CF0349" w:rsidRDefault="00CF0349" w:rsidP="008E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249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E27" w:rsidRDefault="00546E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C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6E27" w:rsidRDefault="00546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49" w:rsidRDefault="00CF0349" w:rsidP="008E5E3C">
      <w:pPr>
        <w:spacing w:after="0" w:line="240" w:lineRule="auto"/>
      </w:pPr>
      <w:r>
        <w:separator/>
      </w:r>
    </w:p>
  </w:footnote>
  <w:footnote w:type="continuationSeparator" w:id="0">
    <w:p w:rsidR="00CF0349" w:rsidRDefault="00CF0349" w:rsidP="008E5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B6331"/>
    <w:multiLevelType w:val="hybridMultilevel"/>
    <w:tmpl w:val="3866EC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B4"/>
    <w:rsid w:val="00026065"/>
    <w:rsid w:val="00083C82"/>
    <w:rsid w:val="001016E6"/>
    <w:rsid w:val="001377A6"/>
    <w:rsid w:val="00174765"/>
    <w:rsid w:val="001809D6"/>
    <w:rsid w:val="001A159A"/>
    <w:rsid w:val="001A5570"/>
    <w:rsid w:val="001E4626"/>
    <w:rsid w:val="002A63E4"/>
    <w:rsid w:val="00321D7F"/>
    <w:rsid w:val="00410E90"/>
    <w:rsid w:val="0046731A"/>
    <w:rsid w:val="00546E27"/>
    <w:rsid w:val="0057449E"/>
    <w:rsid w:val="005F56B4"/>
    <w:rsid w:val="006372B5"/>
    <w:rsid w:val="0066371A"/>
    <w:rsid w:val="00735248"/>
    <w:rsid w:val="00753731"/>
    <w:rsid w:val="0079291E"/>
    <w:rsid w:val="008E5E3C"/>
    <w:rsid w:val="00954D73"/>
    <w:rsid w:val="00970D99"/>
    <w:rsid w:val="00973C25"/>
    <w:rsid w:val="009E63CD"/>
    <w:rsid w:val="00A34636"/>
    <w:rsid w:val="00B2656C"/>
    <w:rsid w:val="00B6798B"/>
    <w:rsid w:val="00B90293"/>
    <w:rsid w:val="00BA4C49"/>
    <w:rsid w:val="00BE50D4"/>
    <w:rsid w:val="00BF3705"/>
    <w:rsid w:val="00C42077"/>
    <w:rsid w:val="00C94CA3"/>
    <w:rsid w:val="00CF0349"/>
    <w:rsid w:val="00CF065F"/>
    <w:rsid w:val="00D428D0"/>
    <w:rsid w:val="00DD51D9"/>
    <w:rsid w:val="00DE58E3"/>
    <w:rsid w:val="00E46DA8"/>
    <w:rsid w:val="00E83A2C"/>
    <w:rsid w:val="00E84229"/>
    <w:rsid w:val="00E861BC"/>
    <w:rsid w:val="00EC2402"/>
    <w:rsid w:val="00F92C82"/>
    <w:rsid w:val="00FA2CD8"/>
    <w:rsid w:val="00F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24904-8CA2-482D-B364-B6F6D7BE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49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1">
    <w:name w:val="Other|1_"/>
    <w:basedOn w:val="DefaultParagraphFont"/>
    <w:link w:val="Other10"/>
    <w:rsid w:val="0066371A"/>
    <w:rPr>
      <w:rFonts w:ascii="Calibri Light" w:eastAsia="Calibri Light" w:hAnsi="Calibri Light" w:cs="Calibri Light"/>
      <w:color w:val="414042"/>
      <w:sz w:val="20"/>
    </w:rPr>
  </w:style>
  <w:style w:type="paragraph" w:customStyle="1" w:styleId="Other10">
    <w:name w:val="Other|1"/>
    <w:basedOn w:val="Normal"/>
    <w:link w:val="Other1"/>
    <w:rsid w:val="0066371A"/>
    <w:pPr>
      <w:widowControl w:val="0"/>
      <w:spacing w:after="180" w:line="240" w:lineRule="auto"/>
    </w:pPr>
    <w:rPr>
      <w:rFonts w:ascii="Calibri Light" w:eastAsia="Calibri Light" w:hAnsi="Calibri Light" w:cs="Calibri Light"/>
      <w:color w:val="414042"/>
      <w:sz w:val="20"/>
    </w:rPr>
  </w:style>
  <w:style w:type="paragraph" w:styleId="Header">
    <w:name w:val="header"/>
    <w:basedOn w:val="Normal"/>
    <w:link w:val="HeaderChar"/>
    <w:uiPriority w:val="99"/>
    <w:unhideWhenUsed/>
    <w:rsid w:val="008E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3C"/>
  </w:style>
  <w:style w:type="paragraph" w:styleId="Footer">
    <w:name w:val="footer"/>
    <w:basedOn w:val="Normal"/>
    <w:link w:val="FooterChar"/>
    <w:uiPriority w:val="99"/>
    <w:unhideWhenUsed/>
    <w:rsid w:val="008E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3C"/>
  </w:style>
  <w:style w:type="paragraph" w:styleId="ListParagraph">
    <w:name w:val="List Paragraph"/>
    <w:basedOn w:val="Normal"/>
    <w:uiPriority w:val="34"/>
    <w:qFormat/>
    <w:rsid w:val="00C94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4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CA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449E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2371-C2B6-4829-A02D-FEC17F35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</dc:creator>
  <cp:keywords/>
  <dc:description/>
  <cp:lastModifiedBy>Asen Antov</cp:lastModifiedBy>
  <cp:revision>4</cp:revision>
  <dcterms:created xsi:type="dcterms:W3CDTF">2022-06-03T08:59:00Z</dcterms:created>
  <dcterms:modified xsi:type="dcterms:W3CDTF">2022-06-06T13:19:00Z</dcterms:modified>
</cp:coreProperties>
</file>