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74" w:rsidRPr="00157805" w:rsidRDefault="00FB3787" w:rsidP="00FA46AB">
      <w:pPr>
        <w:spacing w:before="120" w:after="0" w:line="276" w:lineRule="auto"/>
        <w:ind w:left="2832" w:firstLine="708"/>
        <w:jc w:val="both"/>
        <w:rPr>
          <w:rFonts w:cs="Times New Roman"/>
          <w:b/>
          <w:szCs w:val="24"/>
        </w:rPr>
      </w:pPr>
      <w:r w:rsidRPr="00157805">
        <w:rPr>
          <w:rFonts w:cs="Times New Roman"/>
          <w:b/>
          <w:szCs w:val="24"/>
        </w:rPr>
        <w:t>ОТЧЕТ</w:t>
      </w:r>
    </w:p>
    <w:p w:rsidR="00100874" w:rsidRPr="00157805" w:rsidRDefault="00FA46AB" w:rsidP="00FA46AB">
      <w:pPr>
        <w:spacing w:before="120" w:after="0" w:line="276" w:lineRule="auto"/>
        <w:jc w:val="both"/>
        <w:rPr>
          <w:rFonts w:eastAsia="Times New Roman" w:cs="Times New Roman"/>
          <w:noProof/>
          <w:color w:val="1A1A1A"/>
          <w:szCs w:val="24"/>
          <w:lang w:eastAsia="bg-BG"/>
        </w:rPr>
      </w:pPr>
      <w:r>
        <w:rPr>
          <w:rFonts w:cs="Times New Roman"/>
          <w:b/>
          <w:szCs w:val="24"/>
        </w:rPr>
        <w:t>за</w:t>
      </w:r>
      <w:r w:rsidR="00100874" w:rsidRPr="00157805">
        <w:rPr>
          <w:rFonts w:cs="Times New Roman"/>
          <w:b/>
          <w:szCs w:val="24"/>
        </w:rPr>
        <w:t xml:space="preserve"> изпълнението на Националната програма „Цифрова България 2025“</w:t>
      </w:r>
      <w:r w:rsidR="00100874" w:rsidRPr="00157805">
        <w:rPr>
          <w:rFonts w:eastAsia="Times New Roman" w:cs="Times New Roman"/>
          <w:noProof/>
          <w:color w:val="1A1A1A"/>
          <w:szCs w:val="24"/>
          <w:lang w:eastAsia="bg-BG"/>
        </w:rPr>
        <w:t xml:space="preserve"> </w:t>
      </w:r>
    </w:p>
    <w:p w:rsidR="00100874" w:rsidRPr="00157805" w:rsidRDefault="00100874" w:rsidP="00FA46AB">
      <w:pPr>
        <w:spacing w:before="120" w:after="0" w:line="276" w:lineRule="auto"/>
        <w:jc w:val="both"/>
        <w:rPr>
          <w:rFonts w:cs="Times New Roman"/>
          <w:b/>
          <w:szCs w:val="24"/>
        </w:rPr>
      </w:pPr>
      <w:r w:rsidRPr="00157805">
        <w:rPr>
          <w:rFonts w:eastAsia="Times New Roman" w:cs="Times New Roman"/>
          <w:b/>
          <w:noProof/>
          <w:color w:val="1A1A1A"/>
          <w:szCs w:val="24"/>
          <w:lang w:eastAsia="bg-BG"/>
        </w:rPr>
        <w:t>и пътната карта към нея</w:t>
      </w:r>
      <w:r w:rsidR="00430635" w:rsidRPr="00157805">
        <w:rPr>
          <w:rFonts w:eastAsia="Times New Roman" w:cs="Times New Roman"/>
          <w:b/>
          <w:noProof/>
          <w:color w:val="1A1A1A"/>
          <w:szCs w:val="24"/>
          <w:lang w:eastAsia="bg-BG"/>
        </w:rPr>
        <w:t xml:space="preserve"> </w:t>
      </w:r>
      <w:r w:rsidRPr="00157805">
        <w:rPr>
          <w:rFonts w:cs="Times New Roman"/>
          <w:b/>
          <w:szCs w:val="24"/>
        </w:rPr>
        <w:t>към декември 202</w:t>
      </w:r>
      <w:r w:rsidR="00F7638B" w:rsidRPr="00157805">
        <w:rPr>
          <w:rFonts w:cs="Times New Roman"/>
          <w:b/>
          <w:szCs w:val="24"/>
        </w:rPr>
        <w:t>3</w:t>
      </w:r>
      <w:r w:rsidRPr="00157805">
        <w:rPr>
          <w:rFonts w:cs="Times New Roman"/>
          <w:b/>
          <w:szCs w:val="24"/>
        </w:rPr>
        <w:t xml:space="preserve"> г.</w:t>
      </w:r>
    </w:p>
    <w:p w:rsidR="00FA46AB" w:rsidRPr="00975F6F" w:rsidRDefault="00FA46AB" w:rsidP="00FA46AB">
      <w:pPr>
        <w:pStyle w:val="TOCHeading"/>
        <w:spacing w:before="120" w:line="276" w:lineRule="auto"/>
        <w:jc w:val="both"/>
        <w:rPr>
          <w:rFonts w:ascii="Times New Roman" w:hAnsi="Times New Roman" w:cs="Times New Roman"/>
          <w:sz w:val="24"/>
          <w:szCs w:val="24"/>
          <w:lang w:val="ru-RU"/>
        </w:rPr>
      </w:pPr>
    </w:p>
    <w:p w:rsidR="00F7638B" w:rsidRPr="001D5DB3" w:rsidRDefault="00F7638B" w:rsidP="00FA46AB">
      <w:pPr>
        <w:spacing w:before="120" w:after="0" w:line="276" w:lineRule="auto"/>
        <w:jc w:val="both"/>
        <w:rPr>
          <w:rFonts w:cs="Times New Roman"/>
          <w:i/>
          <w:szCs w:val="24"/>
        </w:rPr>
      </w:pPr>
      <w:r w:rsidRPr="001D5DB3">
        <w:rPr>
          <w:rFonts w:eastAsia="Times New Roman" w:cs="Times New Roman"/>
          <w:i/>
          <w:noProof/>
          <w:color w:val="1A1A1A"/>
          <w:szCs w:val="24"/>
          <w:lang w:eastAsia="bg-BG"/>
        </w:rPr>
        <w:t>Съдържание</w:t>
      </w:r>
    </w:p>
    <w:p w:rsidR="00F7638B" w:rsidRPr="001D5DB3" w:rsidRDefault="00555E90" w:rsidP="00FA46AB">
      <w:pPr>
        <w:spacing w:before="120" w:after="0" w:line="276" w:lineRule="auto"/>
        <w:jc w:val="both"/>
        <w:rPr>
          <w:rFonts w:eastAsia="Times New Roman" w:cs="Times New Roman"/>
          <w:i/>
          <w:noProof/>
          <w:color w:val="1A1A1A"/>
          <w:szCs w:val="24"/>
          <w:lang w:eastAsia="bg-BG"/>
        </w:rPr>
      </w:pPr>
      <w:r w:rsidRPr="001D5DB3">
        <w:rPr>
          <w:rFonts w:eastAsia="Times New Roman" w:cs="Times New Roman"/>
          <w:i/>
          <w:noProof/>
          <w:color w:val="1A1A1A"/>
          <w:szCs w:val="24"/>
          <w:lang w:eastAsia="bg-BG"/>
        </w:rPr>
        <w:t>1.</w:t>
      </w:r>
      <w:r w:rsidR="00F7638B" w:rsidRPr="001D5DB3">
        <w:rPr>
          <w:rFonts w:eastAsia="Times New Roman" w:cs="Times New Roman"/>
          <w:i/>
          <w:noProof/>
          <w:color w:val="1A1A1A"/>
          <w:szCs w:val="24"/>
          <w:lang w:eastAsia="bg-BG"/>
        </w:rPr>
        <w:t>Справка и обобщени изводи от изпълнението на Националната програма „Цифрова България 2025“ и пътната карта към нея към декември 2023 г.</w:t>
      </w:r>
      <w:r w:rsidR="00F7638B" w:rsidRPr="001D5DB3">
        <w:rPr>
          <w:rFonts w:eastAsia="Times New Roman" w:cs="Times New Roman"/>
          <w:i/>
          <w:noProof/>
          <w:color w:val="1A1A1A"/>
          <w:szCs w:val="24"/>
          <w:lang w:eastAsia="bg-BG"/>
        </w:rPr>
        <w:tab/>
      </w:r>
    </w:p>
    <w:p w:rsidR="00F7638B" w:rsidRPr="001D5DB3" w:rsidRDefault="00555E90" w:rsidP="00FA46AB">
      <w:pPr>
        <w:spacing w:before="120" w:after="0" w:line="276" w:lineRule="auto"/>
        <w:jc w:val="both"/>
        <w:rPr>
          <w:rFonts w:eastAsia="Times New Roman" w:cs="Times New Roman"/>
          <w:i/>
          <w:noProof/>
          <w:color w:val="1A1A1A"/>
          <w:szCs w:val="24"/>
          <w:lang w:eastAsia="bg-BG"/>
        </w:rPr>
      </w:pPr>
      <w:r w:rsidRPr="001D5DB3">
        <w:rPr>
          <w:rFonts w:eastAsia="Times New Roman" w:cs="Times New Roman"/>
          <w:i/>
          <w:noProof/>
          <w:color w:val="1A1A1A"/>
          <w:szCs w:val="24"/>
          <w:lang w:eastAsia="bg-BG"/>
        </w:rPr>
        <w:t>2.</w:t>
      </w:r>
      <w:r w:rsidR="001D5DB3" w:rsidRPr="001D5DB3">
        <w:rPr>
          <w:rFonts w:eastAsia="Times New Roman" w:cs="Times New Roman"/>
          <w:i/>
          <w:noProof/>
          <w:color w:val="1A1A1A"/>
          <w:szCs w:val="24"/>
          <w:lang w:eastAsia="bg-BG"/>
        </w:rPr>
        <w:t>Мониторинг – Състояние на ци</w:t>
      </w:r>
      <w:r w:rsidR="00F7638B" w:rsidRPr="001D5DB3">
        <w:rPr>
          <w:rFonts w:eastAsia="Times New Roman" w:cs="Times New Roman"/>
          <w:i/>
          <w:noProof/>
          <w:color w:val="1A1A1A"/>
          <w:szCs w:val="24"/>
          <w:lang w:eastAsia="bg-BG"/>
        </w:rPr>
        <w:t>ровото десетилетие</w:t>
      </w:r>
      <w:r w:rsidRPr="001D5DB3">
        <w:rPr>
          <w:rFonts w:eastAsia="Times New Roman" w:cs="Times New Roman"/>
          <w:i/>
          <w:noProof/>
          <w:color w:val="1A1A1A"/>
          <w:szCs w:val="24"/>
          <w:lang w:eastAsia="bg-BG"/>
        </w:rPr>
        <w:t>.</w:t>
      </w:r>
      <w:r w:rsidR="00F7638B" w:rsidRPr="001D5DB3">
        <w:rPr>
          <w:rFonts w:eastAsia="Times New Roman" w:cs="Times New Roman"/>
          <w:i/>
          <w:noProof/>
          <w:color w:val="1A1A1A"/>
          <w:szCs w:val="24"/>
          <w:lang w:eastAsia="bg-BG"/>
        </w:rPr>
        <w:t xml:space="preserve"> Индекс за навлизането на цифровите технологии в икономиката и обществото (DESI)</w:t>
      </w:r>
      <w:r w:rsidR="00F7638B" w:rsidRPr="001D5DB3">
        <w:rPr>
          <w:rFonts w:eastAsia="Times New Roman" w:cs="Times New Roman"/>
          <w:i/>
          <w:noProof/>
          <w:color w:val="1A1A1A"/>
          <w:szCs w:val="24"/>
          <w:lang w:eastAsia="bg-BG"/>
        </w:rPr>
        <w:tab/>
      </w:r>
    </w:p>
    <w:p w:rsidR="00EC23C7" w:rsidRPr="001D5DB3" w:rsidRDefault="001D5DB3" w:rsidP="001D5DB3">
      <w:pPr>
        <w:tabs>
          <w:tab w:val="left" w:pos="708"/>
          <w:tab w:val="left" w:pos="1416"/>
          <w:tab w:val="left" w:pos="2124"/>
          <w:tab w:val="left" w:pos="2832"/>
          <w:tab w:val="left" w:pos="3540"/>
          <w:tab w:val="center" w:pos="4646"/>
        </w:tabs>
        <w:spacing w:before="120" w:after="0" w:line="276" w:lineRule="auto"/>
        <w:jc w:val="both"/>
        <w:rPr>
          <w:rFonts w:eastAsia="Times New Roman" w:cs="Times New Roman"/>
          <w:i/>
          <w:noProof/>
          <w:color w:val="1A1A1A"/>
          <w:szCs w:val="24"/>
          <w:lang w:eastAsia="bg-BG"/>
        </w:rPr>
      </w:pPr>
      <w:r>
        <w:rPr>
          <w:rFonts w:eastAsia="Times New Roman" w:cs="Times New Roman"/>
          <w:i/>
          <w:noProof/>
          <w:color w:val="1A1A1A"/>
          <w:szCs w:val="24"/>
          <w:lang w:eastAsia="bg-BG"/>
        </w:rPr>
        <w:t>3</w:t>
      </w:r>
      <w:r w:rsidR="00EC23C7" w:rsidRPr="001D5DB3">
        <w:rPr>
          <w:rFonts w:eastAsia="Times New Roman" w:cs="Times New Roman"/>
          <w:i/>
          <w:noProof/>
          <w:color w:val="1A1A1A"/>
          <w:szCs w:val="24"/>
          <w:lang w:eastAsia="bg-BG"/>
        </w:rPr>
        <w:t>. Цифровата икономика в България</w:t>
      </w:r>
      <w:r w:rsidRPr="001D5DB3">
        <w:rPr>
          <w:rFonts w:eastAsia="Times New Roman" w:cs="Times New Roman"/>
          <w:i/>
          <w:noProof/>
          <w:color w:val="1A1A1A"/>
          <w:szCs w:val="24"/>
          <w:lang w:eastAsia="bg-BG"/>
        </w:rPr>
        <w:t>.ОИСР</w:t>
      </w:r>
      <w:r w:rsidRPr="001D5DB3">
        <w:rPr>
          <w:rFonts w:eastAsia="Times New Roman" w:cs="Times New Roman"/>
          <w:i/>
          <w:noProof/>
          <w:color w:val="1A1A1A"/>
          <w:szCs w:val="24"/>
          <w:lang w:eastAsia="bg-BG"/>
        </w:rPr>
        <w:tab/>
      </w:r>
    </w:p>
    <w:p w:rsidR="001D5DB3" w:rsidRPr="001D5DB3" w:rsidRDefault="001D5DB3" w:rsidP="001D5DB3">
      <w:pPr>
        <w:tabs>
          <w:tab w:val="left" w:pos="708"/>
          <w:tab w:val="left" w:pos="1416"/>
          <w:tab w:val="left" w:pos="2124"/>
          <w:tab w:val="left" w:pos="2832"/>
          <w:tab w:val="left" w:pos="3540"/>
          <w:tab w:val="center" w:pos="4646"/>
        </w:tabs>
        <w:spacing w:before="120" w:after="0" w:line="276" w:lineRule="auto"/>
        <w:jc w:val="both"/>
        <w:rPr>
          <w:rFonts w:eastAsia="Times New Roman" w:cs="Times New Roman"/>
          <w:i/>
          <w:noProof/>
          <w:color w:val="1A1A1A"/>
          <w:szCs w:val="24"/>
          <w:lang w:eastAsia="bg-BG"/>
        </w:rPr>
      </w:pPr>
      <w:r>
        <w:rPr>
          <w:rFonts w:eastAsia="Times New Roman" w:cs="Times New Roman"/>
          <w:i/>
          <w:noProof/>
          <w:color w:val="1A1A1A"/>
          <w:szCs w:val="24"/>
          <w:lang w:eastAsia="bg-BG"/>
        </w:rPr>
        <w:t>4</w:t>
      </w:r>
      <w:r w:rsidRPr="001D5DB3">
        <w:rPr>
          <w:rFonts w:eastAsia="Times New Roman" w:cs="Times New Roman"/>
          <w:i/>
          <w:noProof/>
          <w:color w:val="1A1A1A"/>
          <w:szCs w:val="24"/>
          <w:lang w:eastAsia="bg-BG"/>
        </w:rPr>
        <w:t>.Европейският цифров дневен ред</w:t>
      </w:r>
    </w:p>
    <w:p w:rsidR="00555E90" w:rsidRPr="001D5DB3" w:rsidRDefault="001D5DB3" w:rsidP="00FA46AB">
      <w:pPr>
        <w:spacing w:before="120" w:after="0" w:line="276" w:lineRule="auto"/>
        <w:jc w:val="both"/>
        <w:rPr>
          <w:rFonts w:eastAsia="Times New Roman" w:cs="Times New Roman"/>
          <w:i/>
          <w:noProof/>
          <w:color w:val="1A1A1A"/>
          <w:szCs w:val="24"/>
          <w:lang w:eastAsia="bg-BG"/>
        </w:rPr>
      </w:pPr>
      <w:r>
        <w:rPr>
          <w:rFonts w:eastAsia="Times New Roman" w:cs="Times New Roman"/>
          <w:i/>
          <w:noProof/>
          <w:color w:val="1A1A1A"/>
          <w:szCs w:val="24"/>
          <w:lang w:eastAsia="bg-BG"/>
        </w:rPr>
        <w:t>5</w:t>
      </w:r>
      <w:r w:rsidR="002A563D" w:rsidRPr="001D5DB3">
        <w:rPr>
          <w:rFonts w:eastAsia="Times New Roman" w:cs="Times New Roman"/>
          <w:i/>
          <w:noProof/>
          <w:color w:val="1A1A1A"/>
          <w:szCs w:val="24"/>
          <w:lang w:eastAsia="bg-BG"/>
        </w:rPr>
        <w:t>.</w:t>
      </w:r>
      <w:r w:rsidR="005F769A" w:rsidRPr="001D5DB3">
        <w:rPr>
          <w:rFonts w:eastAsia="Times New Roman" w:cs="Times New Roman"/>
          <w:i/>
          <w:noProof/>
          <w:color w:val="1A1A1A"/>
          <w:szCs w:val="24"/>
          <w:lang w:eastAsia="bg-BG"/>
        </w:rPr>
        <w:t>Актуализиран национален стратегически документ „Цифрова трансформация на България за периода 2020-2030 г.“ и Национална пътна карта за цифрова трансформация на България до 2030 г.-проект</w:t>
      </w:r>
    </w:p>
    <w:p w:rsidR="00F7638B" w:rsidRPr="001D5DB3" w:rsidRDefault="00F0642A" w:rsidP="00FA46AB">
      <w:pPr>
        <w:tabs>
          <w:tab w:val="left" w:pos="708"/>
          <w:tab w:val="left" w:pos="1416"/>
          <w:tab w:val="left" w:pos="2124"/>
          <w:tab w:val="left" w:pos="2772"/>
        </w:tabs>
        <w:spacing w:before="120" w:after="0" w:line="276" w:lineRule="auto"/>
        <w:jc w:val="both"/>
        <w:rPr>
          <w:rFonts w:eastAsia="Times New Roman" w:cs="Times New Roman"/>
          <w:i/>
          <w:noProof/>
          <w:color w:val="1A1A1A"/>
          <w:szCs w:val="24"/>
          <w:lang w:eastAsia="bg-BG"/>
        </w:rPr>
      </w:pPr>
      <w:r>
        <w:rPr>
          <w:rFonts w:eastAsia="Times New Roman" w:cs="Times New Roman"/>
          <w:i/>
          <w:noProof/>
          <w:color w:val="1A1A1A"/>
          <w:szCs w:val="24"/>
          <w:lang w:eastAsia="bg-BG"/>
        </w:rPr>
        <w:t>6</w:t>
      </w:r>
      <w:r w:rsidR="009327F4" w:rsidRPr="001D5DB3">
        <w:rPr>
          <w:rFonts w:eastAsia="Times New Roman" w:cs="Times New Roman"/>
          <w:i/>
          <w:noProof/>
          <w:color w:val="1A1A1A"/>
          <w:szCs w:val="24"/>
          <w:lang w:eastAsia="bg-BG"/>
        </w:rPr>
        <w:t>.Приложения</w:t>
      </w:r>
      <w:r w:rsidR="009327F4" w:rsidRPr="001D5DB3">
        <w:rPr>
          <w:rFonts w:eastAsia="Times New Roman" w:cs="Times New Roman"/>
          <w:i/>
          <w:noProof/>
          <w:color w:val="1A1A1A"/>
          <w:szCs w:val="24"/>
          <w:lang w:eastAsia="bg-BG"/>
        </w:rPr>
        <w:tab/>
      </w:r>
    </w:p>
    <w:p w:rsidR="009327F4" w:rsidRPr="001D5DB3" w:rsidRDefault="00F0642A" w:rsidP="00FA46AB">
      <w:pPr>
        <w:tabs>
          <w:tab w:val="left" w:pos="708"/>
          <w:tab w:val="left" w:pos="1416"/>
          <w:tab w:val="left" w:pos="2124"/>
          <w:tab w:val="left" w:pos="2772"/>
        </w:tabs>
        <w:spacing w:before="120" w:after="0" w:line="276" w:lineRule="auto"/>
        <w:jc w:val="both"/>
        <w:rPr>
          <w:rFonts w:eastAsia="Times New Roman" w:cs="Times New Roman"/>
          <w:i/>
          <w:noProof/>
          <w:color w:val="1A1A1A"/>
          <w:szCs w:val="24"/>
          <w:lang w:eastAsia="bg-BG"/>
        </w:rPr>
      </w:pPr>
      <w:r>
        <w:rPr>
          <w:rFonts w:eastAsia="Times New Roman" w:cs="Times New Roman"/>
          <w:i/>
          <w:noProof/>
          <w:color w:val="1A1A1A"/>
          <w:szCs w:val="24"/>
          <w:lang w:eastAsia="bg-BG"/>
        </w:rPr>
        <w:t>6</w:t>
      </w:r>
      <w:r w:rsidR="001D5DB3" w:rsidRPr="001D5DB3">
        <w:rPr>
          <w:rFonts w:eastAsia="Times New Roman" w:cs="Times New Roman"/>
          <w:i/>
          <w:noProof/>
          <w:color w:val="1A1A1A"/>
          <w:szCs w:val="24"/>
          <w:lang w:eastAsia="bg-BG"/>
        </w:rPr>
        <w:t>.</w:t>
      </w:r>
      <w:r w:rsidR="009327F4" w:rsidRPr="001D5DB3">
        <w:rPr>
          <w:rFonts w:eastAsia="Times New Roman" w:cs="Times New Roman"/>
          <w:i/>
          <w:noProof/>
          <w:color w:val="1A1A1A"/>
          <w:szCs w:val="24"/>
          <w:lang w:eastAsia="bg-BG"/>
        </w:rPr>
        <w:t>1</w:t>
      </w:r>
      <w:r w:rsidR="005F769A" w:rsidRPr="001D5DB3">
        <w:rPr>
          <w:rFonts w:cs="Times New Roman"/>
          <w:i/>
          <w:szCs w:val="24"/>
        </w:rPr>
        <w:t xml:space="preserve"> </w:t>
      </w:r>
      <w:r w:rsidR="005F769A" w:rsidRPr="001D5DB3">
        <w:rPr>
          <w:rFonts w:eastAsia="Times New Roman" w:cs="Times New Roman"/>
          <w:i/>
          <w:noProof/>
          <w:color w:val="1A1A1A"/>
          <w:szCs w:val="24"/>
          <w:lang w:eastAsia="bg-BG"/>
        </w:rPr>
        <w:t>България в Периферната обсерватория на цифровото десетилетие 2023</w:t>
      </w:r>
    </w:p>
    <w:p w:rsidR="005F769A" w:rsidRPr="001D5DB3" w:rsidRDefault="00F0642A" w:rsidP="00FA46AB">
      <w:pPr>
        <w:tabs>
          <w:tab w:val="left" w:pos="708"/>
          <w:tab w:val="left" w:pos="1416"/>
          <w:tab w:val="left" w:pos="2124"/>
          <w:tab w:val="left" w:pos="2772"/>
        </w:tabs>
        <w:spacing w:before="120" w:after="0" w:line="276" w:lineRule="auto"/>
        <w:jc w:val="both"/>
        <w:rPr>
          <w:rFonts w:cs="Times New Roman"/>
          <w:i/>
          <w:szCs w:val="24"/>
        </w:rPr>
      </w:pPr>
      <w:r>
        <w:rPr>
          <w:rFonts w:cs="Times New Roman"/>
          <w:i/>
          <w:szCs w:val="24"/>
        </w:rPr>
        <w:t>6</w:t>
      </w:r>
      <w:r w:rsidR="001D5DB3" w:rsidRPr="001D5DB3">
        <w:rPr>
          <w:rFonts w:cs="Times New Roman"/>
          <w:i/>
          <w:szCs w:val="24"/>
        </w:rPr>
        <w:t>.</w:t>
      </w:r>
      <w:r w:rsidR="002A563D" w:rsidRPr="001D5DB3">
        <w:rPr>
          <w:rFonts w:cs="Times New Roman"/>
          <w:i/>
          <w:szCs w:val="24"/>
        </w:rPr>
        <w:t>2</w:t>
      </w:r>
      <w:r w:rsidR="005F769A" w:rsidRPr="001D5DB3">
        <w:rPr>
          <w:rFonts w:cs="Times New Roman"/>
          <w:i/>
          <w:szCs w:val="24"/>
        </w:rPr>
        <w:t>.НИРД и информационно общество.НСИ</w:t>
      </w:r>
    </w:p>
    <w:p w:rsidR="008A7DEF" w:rsidRPr="001D5DB3" w:rsidRDefault="00F0642A" w:rsidP="00E026D5">
      <w:pPr>
        <w:tabs>
          <w:tab w:val="left" w:pos="708"/>
          <w:tab w:val="left" w:pos="1416"/>
          <w:tab w:val="left" w:pos="2124"/>
          <w:tab w:val="left" w:pos="2772"/>
        </w:tabs>
        <w:spacing w:before="120" w:after="0" w:line="276" w:lineRule="auto"/>
        <w:jc w:val="both"/>
        <w:rPr>
          <w:rFonts w:cs="Times New Roman"/>
          <w:i/>
          <w:szCs w:val="24"/>
        </w:rPr>
      </w:pPr>
      <w:r>
        <w:rPr>
          <w:rFonts w:cs="Times New Roman"/>
          <w:i/>
          <w:szCs w:val="24"/>
        </w:rPr>
        <w:t>6</w:t>
      </w:r>
      <w:r w:rsidR="002A563D" w:rsidRPr="001D5DB3">
        <w:rPr>
          <w:rFonts w:cs="Times New Roman"/>
          <w:i/>
          <w:szCs w:val="24"/>
        </w:rPr>
        <w:t>.3</w:t>
      </w:r>
      <w:r w:rsidR="005F769A" w:rsidRPr="001D5DB3">
        <w:rPr>
          <w:rFonts w:cs="Times New Roman"/>
          <w:i/>
          <w:szCs w:val="24"/>
        </w:rPr>
        <w:t>.</w:t>
      </w:r>
      <w:r w:rsidR="002A563D" w:rsidRPr="001D5DB3">
        <w:rPr>
          <w:rFonts w:cs="Times New Roman"/>
          <w:i/>
          <w:szCs w:val="24"/>
        </w:rPr>
        <w:t xml:space="preserve"> Управление</w:t>
      </w:r>
      <w:r w:rsidR="00E026D5" w:rsidRPr="001D5DB3">
        <w:rPr>
          <w:rFonts w:cs="Times New Roman"/>
          <w:i/>
          <w:szCs w:val="24"/>
        </w:rPr>
        <w:t xml:space="preserve"> на интернет</w:t>
      </w:r>
    </w:p>
    <w:p w:rsidR="00E026D5" w:rsidRPr="00E026D5" w:rsidRDefault="00E026D5" w:rsidP="00EC23C7">
      <w:pPr>
        <w:tabs>
          <w:tab w:val="left" w:pos="708"/>
          <w:tab w:val="left" w:pos="1416"/>
          <w:tab w:val="left" w:pos="2124"/>
          <w:tab w:val="left" w:pos="2772"/>
        </w:tabs>
        <w:spacing w:before="120" w:after="0" w:line="276" w:lineRule="auto"/>
        <w:jc w:val="center"/>
        <w:rPr>
          <w:rFonts w:cs="Times New Roman"/>
          <w:szCs w:val="24"/>
        </w:rPr>
      </w:pPr>
    </w:p>
    <w:p w:rsidR="00262F35" w:rsidRPr="00157805" w:rsidRDefault="00FC0CBD" w:rsidP="00FA46AB">
      <w:pPr>
        <w:widowControl w:val="0"/>
        <w:spacing w:before="120" w:after="0" w:line="276" w:lineRule="auto"/>
        <w:jc w:val="both"/>
        <w:rPr>
          <w:rFonts w:eastAsia="Times New Roman" w:cs="Times New Roman"/>
          <w:noProof/>
          <w:color w:val="1A1A1A"/>
          <w:szCs w:val="24"/>
          <w:lang w:eastAsia="bg-BG"/>
        </w:rPr>
      </w:pPr>
      <w:r w:rsidRPr="00157805">
        <w:rPr>
          <w:rFonts w:eastAsia="Times New Roman" w:cs="Times New Roman"/>
          <w:noProof/>
          <w:color w:val="1A1A1A"/>
          <w:szCs w:val="24"/>
          <w:lang w:eastAsia="bg-BG"/>
        </w:rPr>
        <w:t xml:space="preserve">Настоящият отчет дава  информация за изпълнението на </w:t>
      </w:r>
      <w:r w:rsidRPr="00157805">
        <w:rPr>
          <w:rFonts w:cs="Times New Roman"/>
          <w:bCs/>
          <w:szCs w:val="24"/>
          <w:lang w:bidi="bg-BG"/>
        </w:rPr>
        <w:t xml:space="preserve">Националната програма „Цифрова България 2025“ и Пътната карта към нея, приети с РМС № 730 от 5.12.2019 г., които се актуализират на годишна база. Традиционно към ежегодния отчет прилагаме полезна информация </w:t>
      </w:r>
      <w:r w:rsidRPr="00157805">
        <w:rPr>
          <w:rFonts w:eastAsia="Times New Roman" w:cs="Times New Roman"/>
          <w:noProof/>
          <w:color w:val="1A1A1A"/>
          <w:szCs w:val="24"/>
          <w:lang w:eastAsia="bg-BG"/>
        </w:rPr>
        <w:t>и статистиче</w:t>
      </w:r>
      <w:r w:rsidR="009327F4" w:rsidRPr="00157805">
        <w:rPr>
          <w:rFonts w:eastAsia="Times New Roman" w:cs="Times New Roman"/>
          <w:noProof/>
          <w:color w:val="1A1A1A"/>
          <w:szCs w:val="24"/>
          <w:lang w:eastAsia="bg-BG"/>
        </w:rPr>
        <w:t>ски данни за изминалата година, както и политически размисли.</w:t>
      </w:r>
    </w:p>
    <w:p w:rsidR="00BB2AAD" w:rsidRPr="00157805" w:rsidRDefault="00BD3D98" w:rsidP="00FA46AB">
      <w:pPr>
        <w:pStyle w:val="Heading1"/>
        <w:numPr>
          <w:ilvl w:val="0"/>
          <w:numId w:val="26"/>
        </w:numPr>
        <w:spacing w:before="120" w:line="276" w:lineRule="auto"/>
        <w:jc w:val="both"/>
        <w:rPr>
          <w:rFonts w:cs="Times New Roman"/>
          <w:szCs w:val="24"/>
        </w:rPr>
      </w:pPr>
      <w:bookmarkStart w:id="0" w:name="_Toc92275727"/>
      <w:bookmarkStart w:id="1" w:name="_Toc124780657"/>
      <w:r w:rsidRPr="00157805">
        <w:rPr>
          <w:rFonts w:cs="Times New Roman"/>
          <w:szCs w:val="24"/>
        </w:rPr>
        <w:t>Справка и о</w:t>
      </w:r>
      <w:r w:rsidR="003A5811" w:rsidRPr="00157805">
        <w:rPr>
          <w:rFonts w:cs="Times New Roman"/>
          <w:szCs w:val="24"/>
        </w:rPr>
        <w:t>бобщени изводи от</w:t>
      </w:r>
      <w:r w:rsidR="00BB2AAD" w:rsidRPr="00157805">
        <w:rPr>
          <w:rFonts w:cs="Times New Roman"/>
          <w:szCs w:val="24"/>
        </w:rPr>
        <w:t xml:space="preserve"> изпълнението на Националната програма „Цифрова България 2025“</w:t>
      </w:r>
      <w:r w:rsidR="00BB2AAD" w:rsidRPr="00157805">
        <w:rPr>
          <w:rFonts w:eastAsia="Times New Roman" w:cs="Times New Roman"/>
          <w:noProof/>
          <w:color w:val="1A1A1A"/>
          <w:szCs w:val="24"/>
          <w:lang w:eastAsia="bg-BG"/>
        </w:rPr>
        <w:t xml:space="preserve"> и</w:t>
      </w:r>
      <w:r w:rsidR="00AE1156" w:rsidRPr="00157805">
        <w:rPr>
          <w:rFonts w:eastAsia="Times New Roman" w:cs="Times New Roman"/>
          <w:noProof/>
          <w:color w:val="1A1A1A"/>
          <w:szCs w:val="24"/>
          <w:lang w:eastAsia="bg-BG"/>
        </w:rPr>
        <w:t xml:space="preserve"> </w:t>
      </w:r>
      <w:r w:rsidR="00BB2AAD" w:rsidRPr="00157805">
        <w:rPr>
          <w:rFonts w:eastAsia="Times New Roman" w:cs="Times New Roman"/>
          <w:noProof/>
          <w:color w:val="1A1A1A"/>
          <w:szCs w:val="24"/>
          <w:lang w:eastAsia="bg-BG"/>
        </w:rPr>
        <w:t>пътната карта към нея</w:t>
      </w:r>
      <w:r w:rsidR="00150387" w:rsidRPr="00157805">
        <w:rPr>
          <w:rFonts w:cs="Times New Roman"/>
          <w:szCs w:val="24"/>
        </w:rPr>
        <w:t xml:space="preserve"> </w:t>
      </w:r>
      <w:r w:rsidR="001D5DB3">
        <w:rPr>
          <w:rFonts w:cs="Times New Roman"/>
          <w:szCs w:val="24"/>
        </w:rPr>
        <w:t>към декември 2023</w:t>
      </w:r>
      <w:r w:rsidR="00BB2AAD" w:rsidRPr="00157805">
        <w:rPr>
          <w:rFonts w:cs="Times New Roman"/>
          <w:szCs w:val="24"/>
        </w:rPr>
        <w:t xml:space="preserve"> г.</w:t>
      </w:r>
      <w:bookmarkEnd w:id="0"/>
      <w:bookmarkEnd w:id="1"/>
    </w:p>
    <w:p w:rsidR="0086791C" w:rsidRPr="00D40457" w:rsidRDefault="0086791C" w:rsidP="00FA46AB">
      <w:pPr>
        <w:spacing w:before="120" w:after="0" w:line="276" w:lineRule="auto"/>
        <w:jc w:val="both"/>
        <w:rPr>
          <w:rFonts w:cs="Times New Roman"/>
          <w:szCs w:val="24"/>
          <w:lang w:val="ru-RU"/>
        </w:rPr>
      </w:pPr>
    </w:p>
    <w:p w:rsidR="0086791C" w:rsidRPr="00157805" w:rsidRDefault="0078120F" w:rsidP="00FA46AB">
      <w:pPr>
        <w:spacing w:before="120" w:after="0" w:line="276" w:lineRule="auto"/>
        <w:jc w:val="both"/>
        <w:rPr>
          <w:rFonts w:cs="Times New Roman"/>
          <w:szCs w:val="24"/>
        </w:rPr>
      </w:pPr>
      <w:bookmarkStart w:id="2" w:name="_GoBack"/>
      <w:r>
        <w:rPr>
          <w:noProof/>
          <w:lang w:val="en-US"/>
        </w:rPr>
        <w:lastRenderedPageBreak/>
        <w:drawing>
          <wp:inline distT="0" distB="0" distL="0" distR="0" wp14:anchorId="3CF909A2" wp14:editId="38F3561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2"/>
    </w:p>
    <w:p w:rsidR="005F5296" w:rsidRPr="00157805" w:rsidRDefault="0075043E" w:rsidP="00FA46AB">
      <w:pPr>
        <w:spacing w:before="120" w:after="0" w:line="276" w:lineRule="auto"/>
        <w:jc w:val="both"/>
        <w:rPr>
          <w:rFonts w:eastAsia="Times New Roman" w:cs="Times New Roman"/>
          <w:noProof/>
          <w:color w:val="1A1A1A"/>
          <w:szCs w:val="24"/>
          <w:lang w:eastAsia="bg-BG"/>
        </w:rPr>
      </w:pPr>
      <w:r w:rsidRPr="00157805">
        <w:rPr>
          <w:rFonts w:eastAsia="Times New Roman" w:cs="Times New Roman"/>
          <w:noProof/>
          <w:color w:val="1A1A1A"/>
          <w:szCs w:val="24"/>
          <w:lang w:eastAsia="bg-BG"/>
        </w:rPr>
        <w:t>Изпълнението на мерките от Пътната карта към Националната програма „Цифрова България 2025“ се отчита с натрупване</w:t>
      </w:r>
      <w:r w:rsidR="00882D23" w:rsidRPr="00157805">
        <w:rPr>
          <w:rFonts w:eastAsia="Times New Roman" w:cs="Times New Roman"/>
          <w:noProof/>
          <w:color w:val="1A1A1A"/>
          <w:szCs w:val="24"/>
          <w:lang w:eastAsia="bg-BG"/>
        </w:rPr>
        <w:t>. Някои от изп</w:t>
      </w:r>
      <w:r w:rsidR="009327F4" w:rsidRPr="00157805">
        <w:rPr>
          <w:rFonts w:eastAsia="Times New Roman" w:cs="Times New Roman"/>
          <w:noProof/>
          <w:color w:val="1A1A1A"/>
          <w:szCs w:val="24"/>
          <w:lang w:eastAsia="bg-BG"/>
        </w:rPr>
        <w:t>ълнените мерки към декември 2023</w:t>
      </w:r>
      <w:r w:rsidR="00882D23" w:rsidRPr="00157805">
        <w:rPr>
          <w:rFonts w:eastAsia="Times New Roman" w:cs="Times New Roman"/>
          <w:noProof/>
          <w:color w:val="1A1A1A"/>
          <w:szCs w:val="24"/>
          <w:lang w:eastAsia="bg-BG"/>
        </w:rPr>
        <w:t xml:space="preserve"> г. може да са </w:t>
      </w:r>
      <w:r w:rsidR="00722C9D" w:rsidRPr="00157805">
        <w:rPr>
          <w:rFonts w:eastAsia="Times New Roman" w:cs="Times New Roman"/>
          <w:noProof/>
          <w:color w:val="1A1A1A"/>
          <w:szCs w:val="24"/>
          <w:lang w:eastAsia="bg-BG"/>
        </w:rPr>
        <w:t>имали</w:t>
      </w:r>
      <w:r w:rsidR="00882D23" w:rsidRPr="00157805">
        <w:rPr>
          <w:rFonts w:eastAsia="Times New Roman" w:cs="Times New Roman"/>
          <w:noProof/>
          <w:color w:val="1A1A1A"/>
          <w:szCs w:val="24"/>
          <w:lang w:eastAsia="bg-BG"/>
        </w:rPr>
        <w:t xml:space="preserve"> </w:t>
      </w:r>
      <w:r w:rsidR="00722C9D" w:rsidRPr="00157805">
        <w:rPr>
          <w:rFonts w:eastAsia="Times New Roman" w:cs="Times New Roman"/>
          <w:noProof/>
          <w:color w:val="1A1A1A"/>
          <w:szCs w:val="24"/>
          <w:lang w:eastAsia="bg-BG"/>
        </w:rPr>
        <w:t>отложени срокове във времето.</w:t>
      </w:r>
      <w:r w:rsidR="005F5296" w:rsidRPr="00157805">
        <w:rPr>
          <w:rFonts w:eastAsia="Times New Roman" w:cs="Times New Roman"/>
          <w:noProof/>
          <w:color w:val="1A1A1A"/>
          <w:szCs w:val="24"/>
          <w:lang w:eastAsia="bg-BG"/>
        </w:rPr>
        <w:t xml:space="preserve"> Новите </w:t>
      </w:r>
      <w:r w:rsidR="00555DF4" w:rsidRPr="00157805">
        <w:rPr>
          <w:rFonts w:eastAsia="Times New Roman" w:cs="Times New Roman"/>
          <w:noProof/>
          <w:color w:val="1A1A1A"/>
          <w:szCs w:val="24"/>
          <w:lang w:eastAsia="bg-BG"/>
        </w:rPr>
        <w:t xml:space="preserve">мерки </w:t>
      </w:r>
      <w:r w:rsidR="005F5296" w:rsidRPr="00157805">
        <w:rPr>
          <w:rFonts w:eastAsia="Times New Roman" w:cs="Times New Roman"/>
          <w:noProof/>
          <w:color w:val="1A1A1A"/>
          <w:szCs w:val="24"/>
          <w:lang w:eastAsia="bg-BG"/>
        </w:rPr>
        <w:t xml:space="preserve">може да са </w:t>
      </w:r>
      <w:r w:rsidR="00555DF4" w:rsidRPr="00157805">
        <w:rPr>
          <w:rFonts w:eastAsia="Times New Roman" w:cs="Times New Roman"/>
          <w:noProof/>
          <w:color w:val="1A1A1A"/>
          <w:szCs w:val="24"/>
          <w:lang w:eastAsia="bg-BG"/>
        </w:rPr>
        <w:t xml:space="preserve">вече </w:t>
      </w:r>
      <w:r w:rsidR="005F5296" w:rsidRPr="00157805">
        <w:rPr>
          <w:rFonts w:eastAsia="Times New Roman" w:cs="Times New Roman"/>
          <w:noProof/>
          <w:color w:val="1A1A1A"/>
          <w:szCs w:val="24"/>
          <w:lang w:eastAsia="bg-BG"/>
        </w:rPr>
        <w:t>в процес на изпълнение</w:t>
      </w:r>
      <w:r w:rsidR="00555DF4" w:rsidRPr="00157805">
        <w:rPr>
          <w:rFonts w:eastAsia="Times New Roman" w:cs="Times New Roman"/>
          <w:noProof/>
          <w:color w:val="1A1A1A"/>
          <w:szCs w:val="24"/>
          <w:lang w:eastAsia="bg-BG"/>
        </w:rPr>
        <w:t>.</w:t>
      </w:r>
    </w:p>
    <w:p w:rsidR="00BB2AAD" w:rsidRPr="00157805" w:rsidRDefault="003A5811" w:rsidP="00FA46AB">
      <w:pPr>
        <w:widowControl w:val="0"/>
        <w:spacing w:before="120" w:after="0" w:line="276" w:lineRule="auto"/>
        <w:jc w:val="both"/>
        <w:rPr>
          <w:rFonts w:eastAsia="Times New Roman" w:cs="Times New Roman"/>
          <w:noProof/>
          <w:color w:val="1A1A1A"/>
          <w:szCs w:val="24"/>
          <w:lang w:eastAsia="bg-BG"/>
        </w:rPr>
      </w:pPr>
      <w:r w:rsidRPr="00157805">
        <w:rPr>
          <w:rFonts w:eastAsia="Times New Roman" w:cs="Times New Roman"/>
          <w:b/>
          <w:noProof/>
          <w:color w:val="1A1A1A"/>
          <w:szCs w:val="24"/>
          <w:lang w:eastAsia="bg-BG"/>
        </w:rPr>
        <w:t>О</w:t>
      </w:r>
      <w:r w:rsidR="00BB2AAD" w:rsidRPr="00157805">
        <w:rPr>
          <w:rFonts w:eastAsia="Times New Roman" w:cs="Times New Roman"/>
          <w:b/>
          <w:noProof/>
          <w:color w:val="1A1A1A"/>
          <w:szCs w:val="24"/>
          <w:lang w:eastAsia="bg-BG"/>
        </w:rPr>
        <w:t>бобщени</w:t>
      </w:r>
      <w:r w:rsidR="00BB2AAD" w:rsidRPr="00157805">
        <w:rPr>
          <w:rFonts w:eastAsia="Times New Roman" w:cs="Times New Roman"/>
          <w:noProof/>
          <w:color w:val="1A1A1A"/>
          <w:szCs w:val="24"/>
          <w:lang w:eastAsia="bg-BG"/>
        </w:rPr>
        <w:t xml:space="preserve"> </w:t>
      </w:r>
      <w:r w:rsidR="00BB2AAD" w:rsidRPr="00157805">
        <w:rPr>
          <w:rFonts w:eastAsia="Times New Roman" w:cs="Times New Roman"/>
          <w:b/>
          <w:noProof/>
          <w:color w:val="1A1A1A"/>
          <w:szCs w:val="24"/>
          <w:lang w:eastAsia="bg-BG"/>
        </w:rPr>
        <w:t>изводи</w:t>
      </w:r>
      <w:r w:rsidR="00FB7A72" w:rsidRPr="00157805">
        <w:rPr>
          <w:rFonts w:eastAsia="Times New Roman" w:cs="Times New Roman"/>
          <w:b/>
          <w:noProof/>
          <w:color w:val="1A1A1A"/>
          <w:szCs w:val="24"/>
          <w:lang w:eastAsia="bg-BG"/>
        </w:rPr>
        <w:t xml:space="preserve"> и важни статистически </w:t>
      </w:r>
      <w:r w:rsidR="0006360A" w:rsidRPr="00157805">
        <w:rPr>
          <w:rFonts w:eastAsia="Times New Roman" w:cs="Times New Roman"/>
          <w:b/>
          <w:noProof/>
          <w:color w:val="1A1A1A"/>
          <w:szCs w:val="24"/>
          <w:lang w:eastAsia="bg-BG"/>
        </w:rPr>
        <w:t>маркери</w:t>
      </w:r>
      <w:r w:rsidR="00BB2AAD" w:rsidRPr="00157805">
        <w:rPr>
          <w:rFonts w:eastAsia="Times New Roman" w:cs="Times New Roman"/>
          <w:noProof/>
          <w:color w:val="1A1A1A"/>
          <w:szCs w:val="24"/>
          <w:lang w:eastAsia="bg-BG"/>
        </w:rPr>
        <w:t>:</w:t>
      </w:r>
    </w:p>
    <w:p w:rsidR="00BB2AAD" w:rsidRPr="00157805" w:rsidRDefault="00BB2AAD"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eastAsia="Times New Roman" w:cs="Times New Roman"/>
          <w:noProof/>
          <w:color w:val="1A1A1A"/>
          <w:szCs w:val="24"/>
          <w:lang w:eastAsia="bg-BG"/>
        </w:rPr>
        <w:t xml:space="preserve">Отпадането </w:t>
      </w:r>
      <w:r w:rsidR="005F5E5B" w:rsidRPr="00157805">
        <w:rPr>
          <w:rFonts w:eastAsia="Times New Roman" w:cs="Times New Roman"/>
          <w:noProof/>
          <w:color w:val="1A1A1A"/>
          <w:szCs w:val="24"/>
          <w:lang w:eastAsia="bg-BG"/>
        </w:rPr>
        <w:t xml:space="preserve">на мерки </w:t>
      </w:r>
      <w:r w:rsidRPr="00157805">
        <w:rPr>
          <w:rFonts w:eastAsia="Times New Roman" w:cs="Times New Roman"/>
          <w:noProof/>
          <w:color w:val="1A1A1A"/>
          <w:szCs w:val="24"/>
          <w:lang w:eastAsia="bg-BG"/>
        </w:rPr>
        <w:t>или удължаването на срока на някои от мерките се дължи на липса на финансиране, структурни промени, актуализация на стратегически документи</w:t>
      </w:r>
      <w:r w:rsidR="009327F4" w:rsidRPr="00157805">
        <w:rPr>
          <w:rFonts w:eastAsia="Times New Roman" w:cs="Times New Roman"/>
          <w:noProof/>
          <w:color w:val="1A1A1A"/>
          <w:szCs w:val="24"/>
          <w:lang w:eastAsia="bg-BG"/>
        </w:rPr>
        <w:t xml:space="preserve"> или</w:t>
      </w:r>
      <w:r w:rsidRPr="00157805">
        <w:rPr>
          <w:rFonts w:eastAsia="Times New Roman" w:cs="Times New Roman"/>
          <w:noProof/>
          <w:color w:val="1A1A1A"/>
          <w:szCs w:val="24"/>
          <w:lang w:eastAsia="bg-BG"/>
        </w:rPr>
        <w:t xml:space="preserve"> административни причини</w:t>
      </w:r>
    </w:p>
    <w:p w:rsidR="00300E91" w:rsidRPr="00157805" w:rsidRDefault="00BB2AAD"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eastAsia="Times New Roman" w:cs="Times New Roman"/>
          <w:b/>
          <w:noProof/>
          <w:color w:val="1A1A1A"/>
          <w:szCs w:val="24"/>
          <w:lang w:eastAsia="bg-BG"/>
        </w:rPr>
        <w:t xml:space="preserve">Процентът на хората, които никога не са използвали интернет </w:t>
      </w:r>
      <w:r w:rsidR="009004B9" w:rsidRPr="00157805">
        <w:rPr>
          <w:rFonts w:eastAsia="Times New Roman" w:cs="Times New Roman"/>
          <w:b/>
          <w:noProof/>
          <w:color w:val="1A1A1A"/>
          <w:szCs w:val="24"/>
          <w:lang w:eastAsia="bg-BG"/>
        </w:rPr>
        <w:t xml:space="preserve">у нас </w:t>
      </w:r>
      <w:r w:rsidR="00926033" w:rsidRPr="00157805">
        <w:rPr>
          <w:rFonts w:eastAsia="Times New Roman" w:cs="Times New Roman"/>
          <w:b/>
          <w:noProof/>
          <w:color w:val="1A1A1A"/>
          <w:szCs w:val="24"/>
          <w:lang w:eastAsia="bg-BG"/>
        </w:rPr>
        <w:t xml:space="preserve">намалява и </w:t>
      </w:r>
      <w:r w:rsidR="009327F4" w:rsidRPr="00157805">
        <w:rPr>
          <w:rFonts w:eastAsia="Times New Roman" w:cs="Times New Roman"/>
          <w:b/>
          <w:noProof/>
          <w:color w:val="1A1A1A"/>
          <w:szCs w:val="24"/>
          <w:lang w:eastAsia="bg-BG"/>
        </w:rPr>
        <w:t>е 11</w:t>
      </w:r>
      <w:r w:rsidR="00A64258" w:rsidRPr="00157805">
        <w:rPr>
          <w:rFonts w:eastAsia="Times New Roman" w:cs="Times New Roman"/>
          <w:b/>
          <w:noProof/>
          <w:color w:val="1A1A1A"/>
          <w:szCs w:val="24"/>
          <w:lang w:eastAsia="bg-BG"/>
        </w:rPr>
        <w:t xml:space="preserve">,8 за </w:t>
      </w:r>
      <w:r w:rsidR="00926033" w:rsidRPr="00975F6F">
        <w:rPr>
          <w:rFonts w:eastAsia="Times New Roman" w:cs="Times New Roman"/>
          <w:b/>
          <w:noProof/>
          <w:color w:val="1A1A1A"/>
          <w:szCs w:val="24"/>
          <w:lang w:val="ru-RU" w:eastAsia="bg-BG"/>
        </w:rPr>
        <w:t>20</w:t>
      </w:r>
      <w:r w:rsidR="009327F4" w:rsidRPr="00157805">
        <w:rPr>
          <w:rFonts w:eastAsia="Times New Roman" w:cs="Times New Roman"/>
          <w:b/>
          <w:noProof/>
          <w:color w:val="1A1A1A"/>
          <w:szCs w:val="24"/>
          <w:lang w:eastAsia="bg-BG"/>
        </w:rPr>
        <w:t>23</w:t>
      </w:r>
      <w:r w:rsidR="00926033" w:rsidRPr="00975F6F">
        <w:rPr>
          <w:rFonts w:eastAsia="Times New Roman" w:cs="Times New Roman"/>
          <w:b/>
          <w:noProof/>
          <w:color w:val="1A1A1A"/>
          <w:szCs w:val="24"/>
          <w:lang w:val="ru-RU" w:eastAsia="bg-BG"/>
        </w:rPr>
        <w:t xml:space="preserve"> </w:t>
      </w:r>
      <w:r w:rsidR="00A64258" w:rsidRPr="00157805">
        <w:rPr>
          <w:rFonts w:eastAsia="Times New Roman" w:cs="Times New Roman"/>
          <w:b/>
          <w:noProof/>
          <w:color w:val="1A1A1A"/>
          <w:szCs w:val="24"/>
          <w:lang w:eastAsia="bg-BG"/>
        </w:rPr>
        <w:t>г.</w:t>
      </w:r>
      <w:r w:rsidR="00A64258" w:rsidRPr="00157805">
        <w:rPr>
          <w:rFonts w:eastAsia="Times New Roman" w:cs="Times New Roman"/>
          <w:noProof/>
          <w:color w:val="1A1A1A"/>
          <w:szCs w:val="24"/>
          <w:lang w:eastAsia="bg-BG"/>
        </w:rPr>
        <w:t xml:space="preserve"> според НСИ</w:t>
      </w:r>
      <w:r w:rsidR="00926033" w:rsidRPr="00157805">
        <w:rPr>
          <w:rFonts w:eastAsia="Times New Roman" w:cs="Times New Roman"/>
          <w:noProof/>
          <w:color w:val="1A1A1A"/>
          <w:szCs w:val="24"/>
          <w:lang w:eastAsia="bg-BG"/>
        </w:rPr>
        <w:t xml:space="preserve">, при </w:t>
      </w:r>
      <w:r w:rsidRPr="00157805">
        <w:rPr>
          <w:rFonts w:eastAsia="Times New Roman" w:cs="Times New Roman"/>
          <w:noProof/>
          <w:color w:val="1A1A1A"/>
          <w:szCs w:val="24"/>
          <w:lang w:eastAsia="bg-BG"/>
        </w:rPr>
        <w:t>20,9 %</w:t>
      </w:r>
      <w:r w:rsidR="004B480E" w:rsidRPr="00157805">
        <w:rPr>
          <w:rFonts w:eastAsia="Times New Roman" w:cs="Times New Roman"/>
          <w:noProof/>
          <w:color w:val="1A1A1A"/>
          <w:szCs w:val="24"/>
          <w:lang w:eastAsia="bg-BG"/>
        </w:rPr>
        <w:t xml:space="preserve"> за </w:t>
      </w:r>
      <w:r w:rsidR="00E2431F" w:rsidRPr="00157805">
        <w:rPr>
          <w:rFonts w:eastAsia="Times New Roman" w:cs="Times New Roman"/>
          <w:noProof/>
          <w:color w:val="1A1A1A"/>
          <w:szCs w:val="24"/>
          <w:lang w:eastAsia="bg-BG"/>
        </w:rPr>
        <w:t>2020 година</w:t>
      </w:r>
      <w:r w:rsidRPr="00157805">
        <w:rPr>
          <w:rFonts w:eastAsia="Times New Roman" w:cs="Times New Roman"/>
          <w:noProof/>
          <w:color w:val="1A1A1A"/>
          <w:szCs w:val="24"/>
          <w:lang w:eastAsia="bg-BG"/>
        </w:rPr>
        <w:t xml:space="preserve"> </w:t>
      </w:r>
    </w:p>
    <w:p w:rsidR="00BB2AAD" w:rsidRPr="00157805" w:rsidRDefault="009327F4"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cs="Times New Roman"/>
          <w:szCs w:val="24"/>
        </w:rPr>
        <w:t>През 2023 г. 88.5% от домакинствата в България имат достъп до интернет в домовете си. Запазва се тенденцията на ежегодно нарастване на домакинствата с достъп до интернет, като за десетгодишен период относителният им дял се е увеличил с 31.8 процентни пункта.</w:t>
      </w:r>
      <w:r w:rsidR="00926033" w:rsidRPr="00157805">
        <w:rPr>
          <w:rFonts w:cs="Times New Roman"/>
          <w:szCs w:val="24"/>
        </w:rPr>
        <w:t xml:space="preserve"> (</w:t>
      </w:r>
      <w:r w:rsidR="004710BC" w:rsidRPr="00157805">
        <w:rPr>
          <w:rFonts w:cs="Times New Roman"/>
          <w:i/>
          <w:szCs w:val="24"/>
        </w:rPr>
        <w:t>НСИ</w:t>
      </w:r>
      <w:r w:rsidRPr="00157805">
        <w:rPr>
          <w:rFonts w:cs="Times New Roman"/>
          <w:i/>
          <w:szCs w:val="24"/>
          <w:lang w:val="en-US"/>
        </w:rPr>
        <w:t>)</w:t>
      </w:r>
    </w:p>
    <w:p w:rsidR="00E210B3" w:rsidRPr="00157805" w:rsidRDefault="00DF0069"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eastAsia="Times New Roman" w:cs="Times New Roman"/>
          <w:noProof/>
          <w:color w:val="1A1A1A"/>
          <w:szCs w:val="24"/>
          <w:lang w:eastAsia="bg-BG"/>
        </w:rPr>
        <w:t>Проникването на фиксиран широколентов достъп по население</w:t>
      </w:r>
      <w:r w:rsidR="00CB2D70" w:rsidRPr="00157805">
        <w:rPr>
          <w:rFonts w:eastAsia="Times New Roman" w:cs="Times New Roman"/>
          <w:noProof/>
          <w:color w:val="1A1A1A"/>
          <w:szCs w:val="24"/>
          <w:lang w:eastAsia="bg-BG"/>
        </w:rPr>
        <w:t xml:space="preserve"> за 2022</w:t>
      </w:r>
      <w:r w:rsidR="00926033" w:rsidRPr="00157805">
        <w:rPr>
          <w:rFonts w:eastAsia="Times New Roman" w:cs="Times New Roman"/>
          <w:noProof/>
          <w:color w:val="1A1A1A"/>
          <w:szCs w:val="24"/>
          <w:lang w:eastAsia="bg-BG"/>
        </w:rPr>
        <w:t xml:space="preserve"> </w:t>
      </w:r>
      <w:r w:rsidR="00C8015C" w:rsidRPr="00157805">
        <w:rPr>
          <w:rFonts w:eastAsia="Times New Roman" w:cs="Times New Roman"/>
          <w:noProof/>
          <w:color w:val="1A1A1A"/>
          <w:szCs w:val="24"/>
          <w:lang w:eastAsia="bg-BG"/>
        </w:rPr>
        <w:t>г.</w:t>
      </w:r>
      <w:r w:rsidRPr="00157805">
        <w:rPr>
          <w:rFonts w:eastAsia="Times New Roman" w:cs="Times New Roman"/>
          <w:noProof/>
          <w:color w:val="1A1A1A"/>
          <w:szCs w:val="24"/>
          <w:lang w:eastAsia="bg-BG"/>
        </w:rPr>
        <w:t xml:space="preserve"> бележи </w:t>
      </w:r>
      <w:r w:rsidR="00C8015C" w:rsidRPr="00157805">
        <w:rPr>
          <w:rFonts w:eastAsia="Times New Roman" w:cs="Times New Roman"/>
          <w:noProof/>
          <w:color w:val="1A1A1A"/>
          <w:szCs w:val="24"/>
          <w:lang w:eastAsia="bg-BG"/>
        </w:rPr>
        <w:t xml:space="preserve">ръст от </w:t>
      </w:r>
      <w:r w:rsidR="00CB2D70" w:rsidRPr="00157805">
        <w:rPr>
          <w:rFonts w:eastAsia="Times New Roman" w:cs="Times New Roman"/>
          <w:noProof/>
          <w:color w:val="1A1A1A"/>
          <w:szCs w:val="24"/>
          <w:lang w:eastAsia="bg-BG"/>
        </w:rPr>
        <w:t xml:space="preserve">2,4 </w:t>
      </w:r>
      <w:r w:rsidR="00C8015C" w:rsidRPr="00157805">
        <w:rPr>
          <w:rFonts w:eastAsia="Times New Roman" w:cs="Times New Roman"/>
          <w:noProof/>
          <w:color w:val="1A1A1A"/>
          <w:szCs w:val="24"/>
          <w:lang w:eastAsia="bg-BG"/>
        </w:rPr>
        <w:t>пункта спрямо предходната</w:t>
      </w:r>
      <w:r w:rsidRPr="00157805">
        <w:rPr>
          <w:rFonts w:eastAsia="Times New Roman" w:cs="Times New Roman"/>
          <w:noProof/>
          <w:color w:val="1A1A1A"/>
          <w:szCs w:val="24"/>
          <w:lang w:eastAsia="bg-BG"/>
        </w:rPr>
        <w:t xml:space="preserve"> година и </w:t>
      </w:r>
      <w:r w:rsidR="00300E91" w:rsidRPr="00157805">
        <w:rPr>
          <w:rFonts w:eastAsia="Times New Roman" w:cs="Times New Roman"/>
          <w:noProof/>
          <w:color w:val="1A1A1A"/>
          <w:szCs w:val="24"/>
          <w:lang w:eastAsia="bg-BG"/>
        </w:rPr>
        <w:t xml:space="preserve">вече </w:t>
      </w:r>
      <w:r w:rsidR="00CB2D70" w:rsidRPr="00157805">
        <w:rPr>
          <w:rFonts w:eastAsia="Times New Roman" w:cs="Times New Roman"/>
          <w:noProof/>
          <w:color w:val="1A1A1A"/>
          <w:szCs w:val="24"/>
          <w:lang w:eastAsia="bg-BG"/>
        </w:rPr>
        <w:t>е 37</w:t>
      </w:r>
      <w:r w:rsidRPr="00157805">
        <w:rPr>
          <w:rFonts w:eastAsia="Times New Roman" w:cs="Times New Roman"/>
          <w:noProof/>
          <w:color w:val="1A1A1A"/>
          <w:szCs w:val="24"/>
          <w:lang w:eastAsia="bg-BG"/>
        </w:rPr>
        <w:t>%</w:t>
      </w:r>
      <w:r w:rsidR="002F24D2" w:rsidRPr="00157805">
        <w:rPr>
          <w:rFonts w:eastAsia="Times New Roman" w:cs="Times New Roman"/>
          <w:noProof/>
          <w:color w:val="1A1A1A"/>
          <w:szCs w:val="24"/>
          <w:lang w:eastAsia="bg-BG"/>
        </w:rPr>
        <w:t xml:space="preserve"> (</w:t>
      </w:r>
      <w:r w:rsidR="002F24D2" w:rsidRPr="00157805">
        <w:rPr>
          <w:rFonts w:eastAsia="Times New Roman" w:cs="Times New Roman"/>
          <w:i/>
          <w:noProof/>
          <w:color w:val="1A1A1A"/>
          <w:szCs w:val="24"/>
          <w:lang w:eastAsia="bg-BG"/>
        </w:rPr>
        <w:t>КРС</w:t>
      </w:r>
      <w:r w:rsidR="002F24D2" w:rsidRPr="00157805">
        <w:rPr>
          <w:rFonts w:eastAsia="Times New Roman" w:cs="Times New Roman"/>
          <w:noProof/>
          <w:color w:val="1A1A1A"/>
          <w:szCs w:val="24"/>
          <w:lang w:eastAsia="bg-BG"/>
        </w:rPr>
        <w:t>)</w:t>
      </w:r>
      <w:r w:rsidRPr="00157805">
        <w:rPr>
          <w:rFonts w:eastAsia="Times New Roman" w:cs="Times New Roman"/>
          <w:noProof/>
          <w:color w:val="1A1A1A"/>
          <w:szCs w:val="24"/>
          <w:lang w:eastAsia="bg-BG"/>
        </w:rPr>
        <w:t>.</w:t>
      </w:r>
      <w:r w:rsidR="00300E91" w:rsidRPr="00157805">
        <w:rPr>
          <w:rFonts w:eastAsia="Times New Roman" w:cs="Times New Roman"/>
          <w:noProof/>
          <w:color w:val="1A1A1A"/>
          <w:szCs w:val="24"/>
          <w:lang w:eastAsia="bg-BG"/>
        </w:rPr>
        <w:t xml:space="preserve"> </w:t>
      </w:r>
    </w:p>
    <w:p w:rsidR="00CB2D70" w:rsidRPr="00157805" w:rsidRDefault="00CB2D70"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cs="Times New Roman"/>
          <w:szCs w:val="24"/>
        </w:rPr>
        <w:t xml:space="preserve">През 2023 г. 29.7% от лицата използват глобалната мрежа за взаимодействие с административни органи и публични институции, най-често с цел: </w:t>
      </w:r>
    </w:p>
    <w:p w:rsidR="00CB2D70" w:rsidRPr="00157805" w:rsidRDefault="00CB2D70"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cs="Times New Roman"/>
          <w:szCs w:val="24"/>
        </w:rPr>
        <w:sym w:font="Symbol" w:char="F0B7"/>
      </w:r>
      <w:r w:rsidRPr="00157805">
        <w:rPr>
          <w:rFonts w:cs="Times New Roman"/>
          <w:szCs w:val="24"/>
        </w:rPr>
        <w:t xml:space="preserve"> достъп до лична информация, съхранявана от административни органи и публични институции - 16.5%; </w:t>
      </w:r>
      <w:r w:rsidRPr="00157805">
        <w:rPr>
          <w:rFonts w:cs="Times New Roman"/>
          <w:szCs w:val="24"/>
        </w:rPr>
        <w:sym w:font="Symbol" w:char="F0B7"/>
      </w:r>
      <w:r w:rsidRPr="00157805">
        <w:rPr>
          <w:rFonts w:cs="Times New Roman"/>
          <w:szCs w:val="24"/>
        </w:rPr>
        <w:t xml:space="preserve"> изтегляне/отпечатване на официални документи и формуляри - 13.3%; </w:t>
      </w:r>
      <w:r w:rsidRPr="00157805">
        <w:rPr>
          <w:rFonts w:cs="Times New Roman"/>
          <w:szCs w:val="24"/>
        </w:rPr>
        <w:sym w:font="Symbol" w:char="F0B7"/>
      </w:r>
      <w:r w:rsidRPr="00157805">
        <w:rPr>
          <w:rFonts w:cs="Times New Roman"/>
          <w:szCs w:val="24"/>
        </w:rPr>
        <w:t xml:space="preserve"> получаване на информация (за услуги, помощи, права, нормативни актове, работно време) - 9.3%; </w:t>
      </w:r>
      <w:r w:rsidRPr="00157805">
        <w:rPr>
          <w:rFonts w:cs="Times New Roman"/>
          <w:szCs w:val="24"/>
        </w:rPr>
        <w:sym w:font="Symbol" w:char="F0B7"/>
      </w:r>
      <w:r w:rsidRPr="00157805">
        <w:rPr>
          <w:rFonts w:cs="Times New Roman"/>
          <w:szCs w:val="24"/>
        </w:rPr>
        <w:t xml:space="preserve"> подаване на данъчна декларация онлайн - 9.2%.</w:t>
      </w:r>
    </w:p>
    <w:p w:rsidR="008F35D1" w:rsidRPr="00157805" w:rsidRDefault="008F35D1" w:rsidP="00FA46AB">
      <w:pPr>
        <w:pStyle w:val="ListParagraph"/>
        <w:numPr>
          <w:ilvl w:val="0"/>
          <w:numId w:val="17"/>
        </w:numPr>
        <w:shd w:val="clear" w:color="auto" w:fill="FFFFFF"/>
        <w:spacing w:before="120" w:after="0" w:line="276" w:lineRule="auto"/>
        <w:jc w:val="both"/>
        <w:rPr>
          <w:rFonts w:eastAsia="Times New Roman" w:cs="Times New Roman"/>
          <w:noProof/>
          <w:color w:val="1A1A1A"/>
          <w:szCs w:val="24"/>
          <w:lang w:eastAsia="bg-BG"/>
        </w:rPr>
      </w:pPr>
      <w:r w:rsidRPr="00157805">
        <w:rPr>
          <w:rFonts w:cs="Times New Roman"/>
          <w:szCs w:val="24"/>
        </w:rPr>
        <w:t>Предприятията все още срещат трудности при намирането на квалифициран персонал, за  да осъществя</w:t>
      </w:r>
      <w:r w:rsidR="00E2250B" w:rsidRPr="00157805">
        <w:rPr>
          <w:rFonts w:cs="Times New Roman"/>
          <w:szCs w:val="24"/>
        </w:rPr>
        <w:t>ват иновации и да се разрастват</w:t>
      </w:r>
    </w:p>
    <w:p w:rsidR="00C10D84" w:rsidRPr="00E026D5" w:rsidRDefault="00C10D84" w:rsidP="00FA46AB">
      <w:pPr>
        <w:pStyle w:val="ListParagraph"/>
        <w:numPr>
          <w:ilvl w:val="0"/>
          <w:numId w:val="17"/>
        </w:numPr>
        <w:spacing w:before="120" w:after="0" w:line="276" w:lineRule="auto"/>
        <w:jc w:val="both"/>
        <w:rPr>
          <w:rFonts w:cs="Times New Roman"/>
          <w:i/>
          <w:noProof/>
          <w:szCs w:val="24"/>
        </w:rPr>
      </w:pPr>
      <w:r w:rsidRPr="00157805">
        <w:rPr>
          <w:rFonts w:cs="Times New Roman"/>
          <w:noProof/>
          <w:szCs w:val="24"/>
        </w:rPr>
        <w:t xml:space="preserve"> Докато България продължава да се представя добре по отношение на свързаността както по мрежи с много голям капацитет (VHCN), така и по оптични мрежи до помещенията (FTTP), неравномерното разпределение на цифровата инфраструктура в </w:t>
      </w:r>
      <w:r w:rsidRPr="00157805">
        <w:rPr>
          <w:rFonts w:cs="Times New Roman"/>
          <w:noProof/>
          <w:szCs w:val="24"/>
        </w:rPr>
        <w:lastRenderedPageBreak/>
        <w:t>селските райони изисква допълнително внимание. Освен това разпространението на цифрови обществени услуги все още е ниско и са необходими целенасочени мерки, по-специално за минимизиране на административната тежест върху компаниите. Трябва да се положат значителни усилия за насърчаване на цифровите умения.</w:t>
      </w:r>
      <w:r w:rsidR="00E026D5" w:rsidRPr="00975F6F">
        <w:rPr>
          <w:rFonts w:cs="Times New Roman"/>
          <w:noProof/>
          <w:szCs w:val="24"/>
          <w:lang w:val="ru-RU"/>
        </w:rPr>
        <w:t>(</w:t>
      </w:r>
      <w:r w:rsidR="00E026D5">
        <w:rPr>
          <w:rFonts w:cs="Times New Roman"/>
          <w:i/>
          <w:noProof/>
          <w:szCs w:val="24"/>
          <w:lang w:val="en-US"/>
        </w:rPr>
        <w:t>E</w:t>
      </w:r>
      <w:r w:rsidR="00E026D5">
        <w:rPr>
          <w:rFonts w:cs="Times New Roman"/>
          <w:i/>
          <w:noProof/>
          <w:szCs w:val="24"/>
        </w:rPr>
        <w:t>К</w:t>
      </w:r>
      <w:r w:rsidR="00E026D5" w:rsidRPr="00975F6F">
        <w:rPr>
          <w:rFonts w:cs="Times New Roman"/>
          <w:i/>
          <w:noProof/>
          <w:szCs w:val="24"/>
          <w:lang w:val="ru-RU"/>
        </w:rPr>
        <w:t>)</w:t>
      </w:r>
    </w:p>
    <w:p w:rsidR="00CE432B" w:rsidRPr="00157805" w:rsidRDefault="00CE432B" w:rsidP="00FA46AB">
      <w:pPr>
        <w:pStyle w:val="ListParagraph"/>
        <w:shd w:val="clear" w:color="auto" w:fill="FFFFFF"/>
        <w:spacing w:before="120" w:after="0" w:line="276" w:lineRule="auto"/>
        <w:ind w:left="360"/>
        <w:jc w:val="both"/>
        <w:rPr>
          <w:rFonts w:eastAsia="Times New Roman" w:cs="Times New Roman"/>
          <w:i/>
          <w:noProof/>
          <w:color w:val="1A1A1A"/>
          <w:szCs w:val="24"/>
          <w:lang w:eastAsia="bg-BG"/>
        </w:rPr>
      </w:pPr>
    </w:p>
    <w:p w:rsidR="00CB2D70" w:rsidRPr="00FA46AB" w:rsidRDefault="00CB2D70" w:rsidP="00FA46AB">
      <w:pPr>
        <w:spacing w:before="120" w:after="0" w:line="276" w:lineRule="auto"/>
        <w:jc w:val="both"/>
        <w:rPr>
          <w:rFonts w:eastAsia="Times New Roman" w:cs="Times New Roman"/>
          <w:b/>
          <w:noProof/>
          <w:color w:val="1A1A1A"/>
          <w:szCs w:val="24"/>
          <w:u w:val="single"/>
          <w:lang w:eastAsia="bg-BG"/>
        </w:rPr>
      </w:pPr>
      <w:r w:rsidRPr="00157805">
        <w:rPr>
          <w:rFonts w:eastAsia="Times New Roman" w:cs="Times New Roman"/>
          <w:b/>
          <w:noProof/>
          <w:color w:val="1A1A1A"/>
          <w:szCs w:val="24"/>
          <w:lang w:eastAsia="bg-BG"/>
        </w:rPr>
        <w:t>2.</w:t>
      </w:r>
      <w:r w:rsidRPr="00157805">
        <w:rPr>
          <w:rFonts w:eastAsia="Times New Roman" w:cs="Times New Roman"/>
          <w:b/>
          <w:noProof/>
          <w:color w:val="1A1A1A"/>
          <w:szCs w:val="24"/>
          <w:lang w:eastAsia="bg-BG"/>
        </w:rPr>
        <w:tab/>
      </w:r>
      <w:r w:rsidRPr="00FA46AB">
        <w:rPr>
          <w:rFonts w:eastAsia="Times New Roman" w:cs="Times New Roman"/>
          <w:b/>
          <w:noProof/>
          <w:color w:val="1A1A1A"/>
          <w:szCs w:val="24"/>
          <w:u w:val="single"/>
          <w:lang w:eastAsia="bg-BG"/>
        </w:rPr>
        <w:t>Мониторинг – Състояние на цифровото десетилетие Индекс за навлизането на цифровите технологии в икономиката и обществото (DESI)</w:t>
      </w:r>
      <w:r w:rsidRPr="00FA46AB">
        <w:rPr>
          <w:rFonts w:eastAsia="Times New Roman" w:cs="Times New Roman"/>
          <w:b/>
          <w:noProof/>
          <w:color w:val="1A1A1A"/>
          <w:szCs w:val="24"/>
          <w:u w:val="single"/>
          <w:lang w:eastAsia="bg-BG"/>
        </w:rPr>
        <w:tab/>
      </w:r>
    </w:p>
    <w:p w:rsidR="000D226B" w:rsidRPr="00FA46AB" w:rsidRDefault="00CB2D70" w:rsidP="00FA46AB">
      <w:pPr>
        <w:tabs>
          <w:tab w:val="left" w:pos="3924"/>
        </w:tabs>
        <w:spacing w:before="120" w:after="0" w:line="276" w:lineRule="auto"/>
        <w:jc w:val="both"/>
        <w:rPr>
          <w:rFonts w:cs="Times New Roman"/>
          <w:b/>
          <w:szCs w:val="24"/>
        </w:rPr>
      </w:pPr>
      <w:r w:rsidRPr="00FA46AB">
        <w:rPr>
          <w:rFonts w:cs="Times New Roman"/>
          <w:b/>
          <w:szCs w:val="24"/>
        </w:rPr>
        <w:tab/>
      </w:r>
    </w:p>
    <w:p w:rsidR="00972AA7" w:rsidRPr="00FA46AB" w:rsidRDefault="00972AA7" w:rsidP="00FA46AB">
      <w:pPr>
        <w:jc w:val="both"/>
        <w:rPr>
          <w:rFonts w:cs="Times New Roman"/>
          <w:b/>
          <w:noProof/>
          <w:szCs w:val="24"/>
        </w:rPr>
      </w:pPr>
      <w:r w:rsidRPr="00972AA7">
        <w:rPr>
          <w:rFonts w:cs="Times New Roman"/>
          <w:b/>
          <w:noProof/>
          <w:szCs w:val="24"/>
        </w:rPr>
        <w:t xml:space="preserve">Доклад </w:t>
      </w:r>
      <w:r w:rsidRPr="00FA46AB">
        <w:rPr>
          <w:rFonts w:cs="Times New Roman"/>
          <w:b/>
          <w:noProof/>
          <w:szCs w:val="24"/>
        </w:rPr>
        <w:t xml:space="preserve">на ЕК </w:t>
      </w:r>
      <w:r w:rsidRPr="00972AA7">
        <w:rPr>
          <w:rFonts w:cs="Times New Roman"/>
          <w:b/>
          <w:noProof/>
          <w:szCs w:val="24"/>
        </w:rPr>
        <w:t>за състоянието на цифровото десетилетие</w:t>
      </w:r>
      <w:r w:rsidRPr="00FA46AB">
        <w:rPr>
          <w:rFonts w:cs="Times New Roman"/>
          <w:b/>
          <w:noProof/>
          <w:szCs w:val="24"/>
        </w:rPr>
        <w:t xml:space="preserve"> 2030 </w:t>
      </w:r>
      <w:r w:rsidRPr="00972AA7">
        <w:rPr>
          <w:rFonts w:cs="Times New Roman"/>
          <w:b/>
          <w:noProof/>
          <w:szCs w:val="24"/>
        </w:rPr>
        <w:t xml:space="preserve"> </w:t>
      </w:r>
    </w:p>
    <w:p w:rsidR="00972AA7" w:rsidRPr="00975F6F" w:rsidRDefault="006D29DD" w:rsidP="00FA46AB">
      <w:pPr>
        <w:jc w:val="both"/>
        <w:rPr>
          <w:rFonts w:cs="Times New Roman"/>
          <w:noProof/>
          <w:szCs w:val="24"/>
          <w:u w:val="single"/>
        </w:rPr>
      </w:pPr>
      <w:hyperlink r:id="rId9" w:history="1">
        <w:r w:rsidR="00972AA7" w:rsidRPr="00157805">
          <w:rPr>
            <w:rStyle w:val="Hyperlink"/>
            <w:rFonts w:cs="Times New Roman"/>
            <w:noProof/>
            <w:szCs w:val="24"/>
          </w:rPr>
          <w:t>https://digital-strategy.ec.europa.eu/bg/library/2023-report-state-digital-decade</w:t>
        </w:r>
      </w:hyperlink>
      <w:r w:rsidR="00972AA7" w:rsidRPr="00975F6F">
        <w:rPr>
          <w:rFonts w:cs="Times New Roman"/>
          <w:noProof/>
          <w:szCs w:val="24"/>
          <w:u w:val="single"/>
        </w:rPr>
        <w:t xml:space="preserve"> </w:t>
      </w:r>
    </w:p>
    <w:p w:rsidR="00972AA7" w:rsidRPr="00975F6F" w:rsidRDefault="006D29DD" w:rsidP="00FA46AB">
      <w:pPr>
        <w:jc w:val="both"/>
        <w:rPr>
          <w:rFonts w:cs="Times New Roman"/>
          <w:noProof/>
          <w:szCs w:val="24"/>
          <w:u w:val="single"/>
          <w:lang w:val="es-ES"/>
        </w:rPr>
      </w:pPr>
      <w:hyperlink r:id="rId10" w:history="1">
        <w:r w:rsidR="00972AA7" w:rsidRPr="00975F6F">
          <w:rPr>
            <w:rStyle w:val="Hyperlink"/>
            <w:rFonts w:cs="Times New Roman"/>
            <w:noProof/>
            <w:szCs w:val="24"/>
            <w:lang w:val="es-ES"/>
          </w:rPr>
          <w:t>https://digital-strategy.ec.europa.eu/bg/library/country-reports-digital-decad e-report-2023</w:t>
        </w:r>
      </w:hyperlink>
      <w:r w:rsidR="00972AA7" w:rsidRPr="00975F6F">
        <w:rPr>
          <w:rFonts w:cs="Times New Roman"/>
          <w:noProof/>
          <w:szCs w:val="24"/>
          <w:u w:val="single"/>
          <w:lang w:val="es-ES"/>
        </w:rPr>
        <w:t xml:space="preserve"> </w:t>
      </w:r>
    </w:p>
    <w:p w:rsidR="00D83DF0" w:rsidRPr="00975F6F" w:rsidRDefault="00D83DF0" w:rsidP="00FA46AB">
      <w:pPr>
        <w:jc w:val="both"/>
        <w:rPr>
          <w:rFonts w:cs="Times New Roman"/>
          <w:noProof/>
          <w:szCs w:val="24"/>
          <w:lang w:val="ru-RU"/>
        </w:rPr>
      </w:pPr>
      <w:r w:rsidRPr="00975F6F">
        <w:rPr>
          <w:rFonts w:cs="Times New Roman"/>
          <w:noProof/>
          <w:szCs w:val="24"/>
          <w:lang w:val="ru-RU"/>
        </w:rPr>
        <w:t>В първия доклад за състоянието на цифровото десетилетие се прави преглед на напредъка на ЕС към успешна цифрова трансформация, както е посочено в политическата програма „Цифрово десетилетие“ до 2030 г.</w:t>
      </w:r>
    </w:p>
    <w:p w:rsidR="00D83DF0" w:rsidRPr="00975F6F" w:rsidRDefault="00FB3DFD" w:rsidP="00FA46AB">
      <w:pPr>
        <w:jc w:val="both"/>
        <w:rPr>
          <w:rFonts w:cs="Times New Roman"/>
          <w:noProof/>
          <w:szCs w:val="24"/>
          <w:lang w:val="ru-RU"/>
        </w:rPr>
      </w:pPr>
      <w:r w:rsidRPr="00157805">
        <w:rPr>
          <w:rFonts w:cs="Times New Roman"/>
          <w:noProof/>
          <w:szCs w:val="24"/>
        </w:rPr>
        <w:t>П</w:t>
      </w:r>
      <w:r w:rsidR="00D83DF0" w:rsidRPr="00975F6F">
        <w:rPr>
          <w:rFonts w:cs="Times New Roman"/>
          <w:noProof/>
          <w:szCs w:val="24"/>
          <w:lang w:val="ru-RU"/>
        </w:rPr>
        <w:t xml:space="preserve">одчертава </w:t>
      </w:r>
      <w:r w:rsidRPr="00157805">
        <w:rPr>
          <w:rFonts w:cs="Times New Roman"/>
          <w:noProof/>
          <w:szCs w:val="24"/>
        </w:rPr>
        <w:t xml:space="preserve">се </w:t>
      </w:r>
      <w:r w:rsidR="00D83DF0" w:rsidRPr="00975F6F">
        <w:rPr>
          <w:rFonts w:cs="Times New Roman"/>
          <w:noProof/>
          <w:szCs w:val="24"/>
          <w:lang w:val="ru-RU"/>
        </w:rPr>
        <w:t xml:space="preserve">необходимостта от ускоряване и задълбочаване на колективните усилия, включително чрез мерки на политиката и инвестиции в цифрови технологии, умения и инфраструктури.  </w:t>
      </w:r>
    </w:p>
    <w:p w:rsidR="00D83DF0" w:rsidRPr="00975F6F" w:rsidRDefault="00D83DF0" w:rsidP="00FA46AB">
      <w:pPr>
        <w:jc w:val="both"/>
        <w:rPr>
          <w:rFonts w:cs="Times New Roman"/>
          <w:noProof/>
          <w:szCs w:val="24"/>
          <w:lang w:val="ru-RU"/>
        </w:rPr>
      </w:pPr>
      <w:r w:rsidRPr="00975F6F">
        <w:rPr>
          <w:rFonts w:cs="Times New Roman"/>
          <w:noProof/>
          <w:szCs w:val="24"/>
          <w:lang w:val="ru-RU"/>
        </w:rPr>
        <w:t xml:space="preserve">Въз основа на това докладът включва конкретни препоръки към държавите членки преди приемането на техните национални стратегически пътни карти и за бъдещите им корекции.  </w:t>
      </w:r>
    </w:p>
    <w:p w:rsidR="00D83DF0" w:rsidRPr="00975F6F" w:rsidRDefault="00D83DF0" w:rsidP="00FA46AB">
      <w:pPr>
        <w:jc w:val="both"/>
        <w:rPr>
          <w:rFonts w:cs="Times New Roman"/>
          <w:noProof/>
          <w:szCs w:val="24"/>
          <w:lang w:val="ru-RU"/>
        </w:rPr>
      </w:pPr>
      <w:r w:rsidRPr="00975F6F">
        <w:rPr>
          <w:rFonts w:cs="Times New Roman"/>
          <w:noProof/>
          <w:szCs w:val="24"/>
          <w:lang w:val="ru-RU"/>
        </w:rPr>
        <w:t xml:space="preserve">Настоящият доклад включва и мониторинга на Европейската декларация относно цифровите права и принципи за цифровото десетилетие, в която визията на ЕС за цифровата трансформация се превръща в принципи и ангажименти. </w:t>
      </w:r>
    </w:p>
    <w:p w:rsidR="00FB3DFD" w:rsidRPr="00975F6F" w:rsidRDefault="00FB3DFD" w:rsidP="00FA46AB">
      <w:pPr>
        <w:jc w:val="both"/>
        <w:rPr>
          <w:rFonts w:cs="Times New Roman"/>
          <w:b/>
          <w:noProof/>
          <w:szCs w:val="24"/>
          <w:lang w:val="ru-RU"/>
        </w:rPr>
      </w:pPr>
      <w:r w:rsidRPr="00975F6F">
        <w:rPr>
          <w:rFonts w:cs="Times New Roman"/>
          <w:b/>
          <w:noProof/>
          <w:szCs w:val="24"/>
          <w:lang w:val="ru-RU"/>
        </w:rPr>
        <w:t>Каква е връзката между индекса за навлизането на цифровите технологии в икономиката и обществото (</w:t>
      </w:r>
      <w:r w:rsidRPr="00157805">
        <w:rPr>
          <w:rFonts w:cs="Times New Roman"/>
          <w:b/>
          <w:noProof/>
          <w:szCs w:val="24"/>
          <w:lang w:val="en-US"/>
        </w:rPr>
        <w:t>DESI</w:t>
      </w:r>
      <w:r w:rsidRPr="00975F6F">
        <w:rPr>
          <w:rFonts w:cs="Times New Roman"/>
          <w:b/>
          <w:noProof/>
          <w:szCs w:val="24"/>
          <w:lang w:val="ru-RU"/>
        </w:rPr>
        <w:t>) и цифровото десетилетие до 2030 г.?</w:t>
      </w:r>
    </w:p>
    <w:p w:rsidR="00FB3DFD" w:rsidRPr="00975F6F" w:rsidRDefault="00FB3DFD" w:rsidP="00FA46AB">
      <w:pPr>
        <w:jc w:val="both"/>
        <w:rPr>
          <w:rFonts w:cs="Times New Roman"/>
          <w:noProof/>
          <w:szCs w:val="24"/>
          <w:lang w:val="ru-RU"/>
        </w:rPr>
      </w:pPr>
      <w:r w:rsidRPr="00975F6F">
        <w:rPr>
          <w:rFonts w:cs="Times New Roman"/>
          <w:noProof/>
          <w:szCs w:val="24"/>
          <w:lang w:val="ru-RU"/>
        </w:rPr>
        <w:t xml:space="preserve">През последното десетилетие Комисията следи годишните резултати на държавите членки в областта на цифровите технологии чрез индекса </w:t>
      </w:r>
      <w:r w:rsidRPr="00157805">
        <w:rPr>
          <w:rFonts w:cs="Times New Roman"/>
          <w:noProof/>
          <w:szCs w:val="24"/>
          <w:lang w:val="en-US"/>
        </w:rPr>
        <w:t>DESI</w:t>
      </w:r>
      <w:r w:rsidRPr="00975F6F">
        <w:rPr>
          <w:rFonts w:cs="Times New Roman"/>
          <w:noProof/>
          <w:szCs w:val="24"/>
          <w:lang w:val="ru-RU"/>
        </w:rPr>
        <w:t xml:space="preserve"> — индекса за навлизането на цифровите технологии в икономиката и обществото. Годишните доклади на </w:t>
      </w:r>
      <w:r w:rsidRPr="00157805">
        <w:rPr>
          <w:rFonts w:cs="Times New Roman"/>
          <w:noProof/>
          <w:szCs w:val="24"/>
          <w:lang w:val="en-US"/>
        </w:rPr>
        <w:t>DESI</w:t>
      </w:r>
      <w:r w:rsidRPr="00975F6F">
        <w:rPr>
          <w:rFonts w:cs="Times New Roman"/>
          <w:noProof/>
          <w:szCs w:val="24"/>
          <w:lang w:val="ru-RU"/>
        </w:rPr>
        <w:t xml:space="preserve"> включваха профили на държавите и сравнения, които позволиха на държавите членки да определят силните и слабите си страни.</w:t>
      </w:r>
    </w:p>
    <w:p w:rsidR="00FB3DFD" w:rsidRPr="00975F6F" w:rsidRDefault="00FB3DFD" w:rsidP="00FA46AB">
      <w:pPr>
        <w:jc w:val="both"/>
        <w:rPr>
          <w:rFonts w:cs="Times New Roman"/>
          <w:noProof/>
          <w:szCs w:val="24"/>
          <w:lang w:val="ru-RU"/>
        </w:rPr>
      </w:pPr>
      <w:r w:rsidRPr="00975F6F">
        <w:rPr>
          <w:rFonts w:cs="Times New Roman"/>
          <w:noProof/>
          <w:szCs w:val="24"/>
          <w:lang w:val="ru-RU"/>
        </w:rPr>
        <w:t xml:space="preserve">С решението за създаване на политическа програма „Цифрово десетилетие“ до 2030 г. се възлага нова роля на </w:t>
      </w:r>
      <w:r w:rsidRPr="00157805">
        <w:rPr>
          <w:rFonts w:cs="Times New Roman"/>
          <w:noProof/>
          <w:szCs w:val="24"/>
          <w:lang w:val="en-US"/>
        </w:rPr>
        <w:t>DESI</w:t>
      </w:r>
      <w:r w:rsidRPr="00975F6F">
        <w:rPr>
          <w:rFonts w:cs="Times New Roman"/>
          <w:noProof/>
          <w:szCs w:val="24"/>
          <w:lang w:val="ru-RU"/>
        </w:rPr>
        <w:t xml:space="preserve">. Понастоящем </w:t>
      </w:r>
      <w:r w:rsidRPr="00157805">
        <w:rPr>
          <w:rFonts w:cs="Times New Roman"/>
          <w:noProof/>
          <w:szCs w:val="24"/>
          <w:lang w:val="en-US"/>
        </w:rPr>
        <w:t>DESI</w:t>
      </w:r>
      <w:r w:rsidRPr="00975F6F">
        <w:rPr>
          <w:rFonts w:cs="Times New Roman"/>
          <w:noProof/>
          <w:szCs w:val="24"/>
          <w:lang w:val="ru-RU"/>
        </w:rPr>
        <w:t xml:space="preserve"> е включен в доклада за състоянието на цифровото десетилетие и допълва мониторинга на напредъка към постигането на цифровите цели. Това отразява изместване на акцента от оценката на относителните резултати на дадена държава към колективно усилие за преодоляване на изоставането спрямо целите и задачите на цифровото десетилетие до 2030 г.</w:t>
      </w:r>
    </w:p>
    <w:p w:rsidR="003148B4" w:rsidRPr="00975F6F" w:rsidRDefault="00FB3DFD" w:rsidP="00FA46AB">
      <w:pPr>
        <w:jc w:val="both"/>
        <w:rPr>
          <w:rFonts w:cs="Times New Roman"/>
          <w:noProof/>
          <w:szCs w:val="24"/>
          <w:lang w:val="ru-RU"/>
        </w:rPr>
      </w:pPr>
      <w:r w:rsidRPr="00157805">
        <w:rPr>
          <w:rFonts w:cs="Times New Roman"/>
          <w:noProof/>
          <w:szCs w:val="24"/>
          <w:lang w:val="en-US"/>
        </w:rPr>
        <w:t>DESI</w:t>
      </w:r>
      <w:r w:rsidRPr="00975F6F">
        <w:rPr>
          <w:rFonts w:cs="Times New Roman"/>
          <w:noProof/>
          <w:szCs w:val="24"/>
          <w:lang w:val="ru-RU"/>
        </w:rPr>
        <w:t xml:space="preserve"> за 2023 г. се състои от набор от съответни показатели, които са представени като многоизмерно табло и са по-добре приведени в съответствие с договорените цели на равнище ЕС за 2030 г. в областта на цифровата инфраструктура, цифровите умения, цифровизацията на предприятията и обществените услуги. </w:t>
      </w:r>
    </w:p>
    <w:p w:rsidR="00FB3DFD" w:rsidRPr="00975F6F" w:rsidRDefault="006D29DD" w:rsidP="00FA46AB">
      <w:pPr>
        <w:jc w:val="both"/>
        <w:rPr>
          <w:rFonts w:cs="Times New Roman"/>
          <w:noProof/>
          <w:szCs w:val="24"/>
          <w:u w:val="single"/>
          <w:lang w:val="es-ES"/>
        </w:rPr>
      </w:pPr>
      <w:hyperlink r:id="rId11" w:history="1">
        <w:r w:rsidR="00FB3DFD" w:rsidRPr="00975F6F">
          <w:rPr>
            <w:rStyle w:val="Hyperlink"/>
            <w:rFonts w:cs="Times New Roman"/>
            <w:noProof/>
            <w:szCs w:val="24"/>
            <w:lang w:val="es-ES"/>
          </w:rPr>
          <w:t>https://digital-strategy.ec.europa.eu/bg/library/country-reports-digital-decad e-report-2023</w:t>
        </w:r>
      </w:hyperlink>
      <w:r w:rsidR="00FB3DFD" w:rsidRPr="00975F6F">
        <w:rPr>
          <w:rFonts w:cs="Times New Roman"/>
          <w:noProof/>
          <w:szCs w:val="24"/>
          <w:u w:val="single"/>
          <w:lang w:val="es-ES"/>
        </w:rPr>
        <w:t xml:space="preserve"> </w:t>
      </w:r>
    </w:p>
    <w:p w:rsidR="00972AA7" w:rsidRPr="00972AA7" w:rsidRDefault="00972AA7" w:rsidP="00FA46AB">
      <w:pPr>
        <w:jc w:val="both"/>
        <w:rPr>
          <w:rFonts w:cs="Times New Roman"/>
          <w:i/>
          <w:noProof/>
          <w:szCs w:val="24"/>
        </w:rPr>
      </w:pPr>
      <w:r w:rsidRPr="00157805">
        <w:rPr>
          <w:rFonts w:cs="Times New Roman"/>
          <w:i/>
          <w:noProof/>
          <w:szCs w:val="24"/>
        </w:rPr>
        <w:lastRenderedPageBreak/>
        <w:t xml:space="preserve">ПРЕПОРЪКИ </w:t>
      </w:r>
      <w:r w:rsidR="00E026D5">
        <w:rPr>
          <w:rFonts w:cs="Times New Roman"/>
          <w:i/>
          <w:noProof/>
          <w:szCs w:val="24"/>
        </w:rPr>
        <w:t>НА ЕК</w:t>
      </w:r>
      <w:r w:rsidR="00C74927">
        <w:rPr>
          <w:rFonts w:cs="Times New Roman"/>
          <w:i/>
          <w:noProof/>
          <w:szCs w:val="24"/>
        </w:rPr>
        <w:t xml:space="preserve"> </w:t>
      </w:r>
      <w:r w:rsidRPr="00972AA7">
        <w:rPr>
          <w:rFonts w:cs="Times New Roman"/>
          <w:i/>
          <w:noProof/>
          <w:szCs w:val="24"/>
        </w:rPr>
        <w:t>ЗА БЪЛГАРИЯ, септ. 2023г.</w:t>
      </w:r>
    </w:p>
    <w:p w:rsidR="00972AA7" w:rsidRPr="00157805" w:rsidRDefault="00972AA7" w:rsidP="00FA46AB">
      <w:pPr>
        <w:jc w:val="both"/>
        <w:rPr>
          <w:rFonts w:cs="Times New Roman"/>
          <w:b/>
          <w:i/>
          <w:noProof/>
          <w:szCs w:val="24"/>
        </w:rPr>
      </w:pPr>
      <w:r w:rsidRPr="00972AA7">
        <w:rPr>
          <w:rFonts w:cs="Times New Roman"/>
          <w:b/>
          <w:i/>
          <w:noProof/>
          <w:szCs w:val="24"/>
        </w:rPr>
        <w:t>Доклад за Цифровото десетилетие 2023 за България :</w:t>
      </w:r>
    </w:p>
    <w:p w:rsidR="00FB3DFD" w:rsidRPr="00975F6F" w:rsidRDefault="006D29DD" w:rsidP="00FA46AB">
      <w:pPr>
        <w:jc w:val="both"/>
        <w:rPr>
          <w:rFonts w:cs="Times New Roman"/>
          <w:noProof/>
          <w:szCs w:val="24"/>
          <w:u w:val="single"/>
        </w:rPr>
      </w:pPr>
      <w:hyperlink r:id="rId12" w:history="1">
        <w:r w:rsidR="00FB3DFD" w:rsidRPr="00157805">
          <w:rPr>
            <w:rStyle w:val="Hyperlink"/>
            <w:rFonts w:cs="Times New Roman"/>
            <w:noProof/>
            <w:szCs w:val="24"/>
          </w:rPr>
          <w:t>https://digital-strategy.ec.europa.eu/bg/library/2023-report-state-digital-decade</w:t>
        </w:r>
      </w:hyperlink>
      <w:r w:rsidR="00FB3DFD" w:rsidRPr="00975F6F">
        <w:rPr>
          <w:rFonts w:cs="Times New Roman"/>
          <w:noProof/>
          <w:szCs w:val="24"/>
          <w:u w:val="single"/>
        </w:rPr>
        <w:t xml:space="preserve"> </w:t>
      </w:r>
    </w:p>
    <w:p w:rsidR="00FB3DFD" w:rsidRPr="00972AA7" w:rsidRDefault="00FB3DFD" w:rsidP="00FA46AB">
      <w:pPr>
        <w:jc w:val="both"/>
        <w:rPr>
          <w:rFonts w:cs="Times New Roman"/>
          <w:b/>
          <w:i/>
          <w:noProof/>
          <w:szCs w:val="24"/>
        </w:rPr>
      </w:pPr>
    </w:p>
    <w:p w:rsidR="00972AA7" w:rsidRPr="00972AA7" w:rsidRDefault="00972AA7" w:rsidP="00FA46AB">
      <w:pPr>
        <w:jc w:val="both"/>
        <w:rPr>
          <w:rFonts w:cs="Times New Roman"/>
          <w:i/>
          <w:noProof/>
          <w:szCs w:val="24"/>
        </w:rPr>
      </w:pPr>
      <w:r w:rsidRPr="00972AA7">
        <w:rPr>
          <w:rFonts w:cs="Times New Roman"/>
          <w:i/>
          <w:noProof/>
          <w:szCs w:val="24"/>
        </w:rPr>
        <w:t>България има възможност да подобри представянето си в цифровия преход и да допринесе за колективните усилия за постигане на целите на ЕС за Цифровото десетилетие. Докато България продължава да се представя добре по отношение на свързаността както по мрежи с много голям капацитет (VHCN), така и по оптични мрежи до помещенията (FTTP), неравномерното разпределение на цифровата инфраструктура в селските райони изисква допълнително внимание. Освен това разпространението на цифрови обществени услуги все още е ниско и са необходими целенасочени мерки, по-специално за минимизиране на административната тежест върху компаниите. Трябва да се положат значителни усилия за насърчаване на цифровите умения. България си сътрудничи с други държави-членки при проучване на възможността за създаване на Европейски консорциум за цифрова инфраструктура (EDIC) за генома, за да се даде възможност за ефективен и сигурен трансграничен достъп до хранилища на лични геномни набори от данни.</w:t>
      </w:r>
    </w:p>
    <w:p w:rsidR="00972AA7" w:rsidRPr="00972AA7" w:rsidRDefault="00972AA7" w:rsidP="00FA46AB">
      <w:pPr>
        <w:jc w:val="both"/>
        <w:rPr>
          <w:rFonts w:cs="Times New Roman"/>
          <w:noProof/>
          <w:szCs w:val="24"/>
        </w:rPr>
      </w:pPr>
      <w:r w:rsidRPr="00972AA7">
        <w:rPr>
          <w:rFonts w:cs="Times New Roman"/>
          <w:b/>
          <w:noProof/>
          <w:szCs w:val="24"/>
        </w:rPr>
        <w:t>ЦИФРОВИ УМЕНИЯ</w:t>
      </w:r>
      <w:r w:rsidRPr="00972AA7">
        <w:rPr>
          <w:rFonts w:cs="Times New Roman"/>
          <w:noProof/>
          <w:szCs w:val="24"/>
        </w:rPr>
        <w:t xml:space="preserve"> </w:t>
      </w:r>
    </w:p>
    <w:p w:rsidR="00972AA7" w:rsidRPr="00972AA7" w:rsidRDefault="00972AA7" w:rsidP="00FA46AB">
      <w:pPr>
        <w:jc w:val="both"/>
        <w:rPr>
          <w:rFonts w:cs="Times New Roman"/>
          <w:noProof/>
          <w:szCs w:val="24"/>
        </w:rPr>
      </w:pPr>
      <w:r w:rsidRPr="00972AA7">
        <w:rPr>
          <w:rFonts w:cs="Times New Roman"/>
          <w:noProof/>
          <w:szCs w:val="24"/>
        </w:rPr>
        <w:t>Само около една трета от населението на България на възраст между 16 и 74 години притежава поне основни цифрови умения. Само 8% от населението на България притежава над базовите цифрови умения. Очаква се България да допринесе положително за целта на Цифровото десетилетие за ИКТ специалистите. Въпреки че България има нисък дял на ИКТ специалисти (3,8% при средно за ЕС от 4,6%), тя е страната с най-висок дял жени, работещи като ИКТ специалисти (28,9% при средно за ЕС от 18,9%) . Делът на завършилите ИКТ в страната е 4,9%, над средното за ЕС ниво от 4,2%.</w:t>
      </w:r>
    </w:p>
    <w:p w:rsidR="00972AA7" w:rsidRPr="00972AA7" w:rsidRDefault="00972AA7" w:rsidP="00FA46AB">
      <w:pPr>
        <w:jc w:val="both"/>
        <w:rPr>
          <w:rFonts w:cs="Times New Roman"/>
          <w:i/>
          <w:noProof/>
          <w:szCs w:val="24"/>
        </w:rPr>
      </w:pPr>
      <w:r w:rsidRPr="00972AA7">
        <w:rPr>
          <w:rFonts w:cs="Times New Roman"/>
          <w:i/>
          <w:noProof/>
          <w:szCs w:val="24"/>
        </w:rPr>
        <w:t>България трябва да увеличи значително усилията си в областта на цифровите умения. По-специално, България трябва да осигури цялостен подход на  правителството за по-ефективна и ефикасна координация на разработването, прилагането и оценката на политиката за цифрово образование и да засили участието на съответните заинтересовани страни. Тя следва да засили повишаването на квалификацията и преквалификацията на работната сила, включително чрез мобилизиране на фондове на ЕС или чрез използване на Европейския инструмент за техническа подкрепа за разработване, предоставяне и оценка на програми, насочени към специфични нужди от обучение за възрастни.</w:t>
      </w:r>
    </w:p>
    <w:p w:rsidR="00972AA7" w:rsidRPr="00972AA7" w:rsidRDefault="00972AA7" w:rsidP="00FA46AB">
      <w:pPr>
        <w:jc w:val="both"/>
        <w:rPr>
          <w:rFonts w:cs="Times New Roman"/>
          <w:noProof/>
          <w:szCs w:val="24"/>
        </w:rPr>
      </w:pPr>
      <w:r w:rsidRPr="00972AA7">
        <w:rPr>
          <w:rFonts w:cs="Times New Roman"/>
          <w:b/>
          <w:noProof/>
          <w:szCs w:val="24"/>
        </w:rPr>
        <w:t>ЦИФРОВА ИНФРАСТРУКТУРА</w:t>
      </w:r>
      <w:r w:rsidRPr="00972AA7">
        <w:rPr>
          <w:rFonts w:cs="Times New Roman"/>
          <w:noProof/>
          <w:szCs w:val="24"/>
        </w:rPr>
        <w:t xml:space="preserve"> </w:t>
      </w:r>
    </w:p>
    <w:p w:rsidR="00972AA7" w:rsidRPr="00972AA7" w:rsidRDefault="00972AA7" w:rsidP="00FA46AB">
      <w:pPr>
        <w:jc w:val="both"/>
        <w:rPr>
          <w:rFonts w:cs="Times New Roman"/>
          <w:noProof/>
          <w:szCs w:val="24"/>
        </w:rPr>
      </w:pPr>
      <w:r w:rsidRPr="00972AA7">
        <w:rPr>
          <w:rFonts w:cs="Times New Roman"/>
          <w:noProof/>
          <w:szCs w:val="24"/>
        </w:rPr>
        <w:t xml:space="preserve">България постигна много добър напредък в областта на фиксираната широколентова свързаност. Оптичната свързаност към помещенията се е подобрила значително дори в сравнение с резултатите от миналата година (от 81% на 86%), което вече е по-високо от средното за ЕС от 56%. Разпространението  на гигабитовата свързаност обаче остава много ниско - 0,8%. Разгръщането на мобилни 5G започна да се налага и покритието се увеличи през 2022 г. до 67%. По отношение на 5G пионерните честотни ленти, позволяващи подобрено изпълнение, присвояването на спектъра беше завършено през декември 2022 г. </w:t>
      </w:r>
      <w:r w:rsidRPr="00972AA7">
        <w:rPr>
          <w:rFonts w:cs="Times New Roman"/>
          <w:noProof/>
          <w:szCs w:val="24"/>
        </w:rPr>
        <w:lastRenderedPageBreak/>
        <w:t>за 700MHz и 800MHz обхват, които допълват лицензите за 3,6 GHz и 26 GHz обхват, издадени преди това на операторите на мобилни мрежи. България участва и в многонационални проекти, по-специално в непрекъсваемия 5G роуминг за трансграничния коридор Гърция-България (5G SEAGUL). Що се отнася до друга цифрова инфраструктура, България вече създаде експертна работна група по полупроводници за обмен на добри практики и споделяне на опит за подготовка и прилагане на публична политика в областта на микроелектрониката. България участва активно в проект за разработване на национален план за квантова комуникационна инфраструктура (QCI) в контекста на EuroQCI.</w:t>
      </w:r>
    </w:p>
    <w:p w:rsidR="00972AA7" w:rsidRPr="00972AA7" w:rsidRDefault="00972AA7" w:rsidP="00FA46AB">
      <w:pPr>
        <w:jc w:val="both"/>
        <w:rPr>
          <w:rFonts w:cs="Times New Roman"/>
          <w:i/>
          <w:noProof/>
          <w:szCs w:val="24"/>
        </w:rPr>
      </w:pPr>
      <w:r w:rsidRPr="00972AA7">
        <w:rPr>
          <w:rFonts w:cs="Times New Roman"/>
          <w:i/>
          <w:noProof/>
          <w:szCs w:val="24"/>
        </w:rPr>
        <w:t>България трябва да ускори усилията си по отношение на инфраструктурата за свързаност, по-специално като предприеме мерки за стимулиране на използването на гигабитова свързаност и ускоряване на внедряването на 5G. Предприетите от България мерки в областта на полупроводниците и квантовите компютри трябва да продължат, за да се помогне на ЕС да стане силен пазарен играч в тези области.</w:t>
      </w:r>
    </w:p>
    <w:p w:rsidR="00972AA7" w:rsidRPr="00972AA7" w:rsidRDefault="00972AA7" w:rsidP="00FA46AB">
      <w:pPr>
        <w:jc w:val="both"/>
        <w:rPr>
          <w:rFonts w:cs="Times New Roman"/>
          <w:noProof/>
          <w:szCs w:val="24"/>
        </w:rPr>
      </w:pPr>
      <w:r w:rsidRPr="00972AA7">
        <w:rPr>
          <w:rFonts w:cs="Times New Roman"/>
          <w:b/>
          <w:noProof/>
          <w:szCs w:val="24"/>
        </w:rPr>
        <w:t>ЦИФРОВИЗАЦИЯ НА БИЗНЕСА</w:t>
      </w:r>
      <w:r w:rsidRPr="00972AA7">
        <w:rPr>
          <w:rFonts w:cs="Times New Roman"/>
          <w:noProof/>
          <w:szCs w:val="24"/>
        </w:rPr>
        <w:t xml:space="preserve"> </w:t>
      </w:r>
    </w:p>
    <w:p w:rsidR="00972AA7" w:rsidRPr="00972AA7" w:rsidRDefault="00972AA7" w:rsidP="00FA46AB">
      <w:pPr>
        <w:jc w:val="both"/>
        <w:rPr>
          <w:rFonts w:cs="Times New Roman"/>
          <w:noProof/>
          <w:szCs w:val="24"/>
        </w:rPr>
      </w:pPr>
      <w:r w:rsidRPr="00972AA7">
        <w:rPr>
          <w:rFonts w:cs="Times New Roman"/>
          <w:noProof/>
          <w:szCs w:val="24"/>
        </w:rPr>
        <w:t>Цифровата  трансформация на бизнеса в България изостава значително от останалите страни на ЕС и следователно страната се нуждае от значителни усилия, за да допринесе за постигане на целта на Цифровото  десетилетие. Делът на предприятията, използващи обрачни изчислителни услуги , е един от най-ниските сред страните от ЕС, но възприемането на AI и големи данни напоследък се увеличи. Програмата „Конкурентоспособност и иновации в предприятията 2021 – 2027“ поставя стратегически цели за предоставяне на финансиране за иновации на бизнеса и подкрепа на иновациите, конкурентоспособността и цифровия и зелен преход. Програмата е структурирана около три приоритета: (i) иновации и растеж, (ii) кръгова икономика и (iii) цифрова свързаност. През 2022 г. България приложи стратегически мерки в подкрепа на цифровизацията на МСП с Националната програма за икономическа трансформация.</w:t>
      </w:r>
    </w:p>
    <w:p w:rsidR="00972AA7" w:rsidRPr="00972AA7" w:rsidRDefault="00972AA7" w:rsidP="00FA46AB">
      <w:pPr>
        <w:jc w:val="both"/>
        <w:rPr>
          <w:rFonts w:cs="Times New Roman"/>
          <w:i/>
          <w:noProof/>
          <w:szCs w:val="24"/>
        </w:rPr>
      </w:pPr>
      <w:r w:rsidRPr="00972AA7">
        <w:rPr>
          <w:rFonts w:cs="Times New Roman"/>
          <w:i/>
          <w:noProof/>
          <w:szCs w:val="24"/>
        </w:rPr>
        <w:t>България трябва значително да засили усилията си в областта на цифровизацията на бизнеса, по-специално трябва да предприеме по-нататъшни действия за увеличаване на цялостния цифров интензитет в МСП, както и за възприемане на облачни изчислителни услуги , големи данни и изкуствен интелект.</w:t>
      </w:r>
    </w:p>
    <w:p w:rsidR="00972AA7" w:rsidRPr="00972AA7" w:rsidRDefault="00972AA7" w:rsidP="00FA46AB">
      <w:pPr>
        <w:jc w:val="both"/>
        <w:rPr>
          <w:rFonts w:cs="Times New Roman"/>
          <w:noProof/>
          <w:szCs w:val="24"/>
        </w:rPr>
      </w:pPr>
      <w:r w:rsidRPr="00972AA7">
        <w:rPr>
          <w:rFonts w:cs="Times New Roman"/>
          <w:b/>
          <w:noProof/>
          <w:szCs w:val="24"/>
        </w:rPr>
        <w:t>ЦИФРОВИЗАЦИЯ НА ОБЩЕСТВЕНИТЕ УСЛУГИ</w:t>
      </w:r>
      <w:r w:rsidRPr="00972AA7">
        <w:rPr>
          <w:rFonts w:cs="Times New Roman"/>
          <w:noProof/>
          <w:szCs w:val="24"/>
        </w:rPr>
        <w:t xml:space="preserve"> </w:t>
      </w:r>
    </w:p>
    <w:p w:rsidR="00972AA7" w:rsidRPr="00972AA7" w:rsidRDefault="00972AA7" w:rsidP="00FA46AB">
      <w:pPr>
        <w:jc w:val="both"/>
        <w:rPr>
          <w:rFonts w:cs="Times New Roman"/>
          <w:noProof/>
          <w:szCs w:val="24"/>
        </w:rPr>
      </w:pPr>
      <w:r w:rsidRPr="00972AA7">
        <w:rPr>
          <w:rFonts w:cs="Times New Roman"/>
          <w:noProof/>
          <w:szCs w:val="24"/>
        </w:rPr>
        <w:t>България се представя под средното ниво за ЕС за повечето от целите в областта на цифровизацията на обществените услуги. Напредъкът в цифровите обществени услуги както за гражданите, така и за предприятията остава нисък. Процентът на потребителите на електронно правителство е по-нисък от средния за ЕС. Но достъпът до електронни здравни досиета е над средния за ЕС (77 срещу 72). През януари 2023 г. приключи надграждането на Единния портал за достъп до електронни административни услуги. Основните функционалности на новия портал ще гарантират, че обществените  услуги са приведени в съответствие с рамката за оперативна съвместимост на Европейската комисия. Сключен е договор за издаване на национална схема за eID в съответствие с Регламента за eIDAS, която ще замени старата схема. България участва и в трансграничен проект, финансиран от програмата Connecting Europe Facility, за създаване на  трансгранична услуга за електронно здравеопазване с широко приложение.</w:t>
      </w:r>
    </w:p>
    <w:p w:rsidR="00972AA7" w:rsidRPr="00972AA7" w:rsidRDefault="00972AA7" w:rsidP="00FA46AB">
      <w:pPr>
        <w:jc w:val="both"/>
        <w:rPr>
          <w:rFonts w:cs="Times New Roman"/>
          <w:i/>
          <w:noProof/>
          <w:szCs w:val="24"/>
        </w:rPr>
      </w:pPr>
      <w:r w:rsidRPr="00972AA7">
        <w:rPr>
          <w:rFonts w:cs="Times New Roman"/>
          <w:i/>
          <w:noProof/>
          <w:szCs w:val="24"/>
        </w:rPr>
        <w:lastRenderedPageBreak/>
        <w:t>България трябва да ускори усилията си за цифровизация на обществените услуги. По-специално, тя следва да повиши осведомеността за своите обществени услуги, които са достъпни онлайн за всички потребители на интернет.</w:t>
      </w:r>
    </w:p>
    <w:p w:rsidR="00972AA7" w:rsidRPr="00972AA7" w:rsidRDefault="00972AA7" w:rsidP="00FA46AB">
      <w:pPr>
        <w:jc w:val="both"/>
        <w:rPr>
          <w:rFonts w:cs="Times New Roman"/>
          <w:noProof/>
          <w:szCs w:val="24"/>
        </w:rPr>
      </w:pPr>
      <w:r w:rsidRPr="00972AA7">
        <w:rPr>
          <w:rFonts w:cs="Times New Roman"/>
          <w:b/>
          <w:noProof/>
          <w:szCs w:val="24"/>
        </w:rPr>
        <w:t>Цифровата част  в Плана за възстановяване и устойчивост на България (ПВУ)</w:t>
      </w:r>
      <w:r w:rsidRPr="00972AA7">
        <w:rPr>
          <w:rFonts w:cs="Times New Roman"/>
          <w:noProof/>
          <w:szCs w:val="24"/>
        </w:rPr>
        <w:t xml:space="preserve"> Българският ПВУ възлиза на 6,27 млрд. евро. 25,8% от тях (1,6 милиарда евро) са посветени на цифровата трансформация, от които 1,01 милиарда евро се очаква да допринесат за целите  на Цифровото десетилетие</w:t>
      </w:r>
      <w:r w:rsidR="003148B4">
        <w:rPr>
          <w:rFonts w:cs="Times New Roman"/>
          <w:noProof/>
          <w:szCs w:val="24"/>
        </w:rPr>
        <w:t xml:space="preserve"> </w:t>
      </w:r>
      <w:r w:rsidR="003148B4" w:rsidRPr="00975F6F">
        <w:rPr>
          <w:rFonts w:cs="Times New Roman"/>
          <w:noProof/>
          <w:szCs w:val="24"/>
          <w:lang w:val="ru-RU"/>
        </w:rPr>
        <w:t>*</w:t>
      </w:r>
      <w:r w:rsidRPr="00972AA7">
        <w:rPr>
          <w:rFonts w:cs="Times New Roman"/>
          <w:noProof/>
          <w:szCs w:val="24"/>
        </w:rPr>
        <w:t>. В контекста на първото искане за плащане България е постигнала 11 етапа/междинни цели и цели. Няколко от тях бяха свързани с мерки в цифровата област, като намаляване на таксите за радиочестотния спектър, законодателни промени  за прилагане на препоръките от Connectivity Toolbox и възлагане на договори за разработване на системата TETRA и радиорелейната мрежа. По отношение на второто искане за плащане се очаква България да постигне 66 етапа/междинни цели и цели от общо 346 в българския план.</w:t>
      </w:r>
    </w:p>
    <w:p w:rsidR="00972AA7" w:rsidRDefault="003148B4" w:rsidP="00FA46AB">
      <w:pPr>
        <w:jc w:val="both"/>
        <w:rPr>
          <w:rFonts w:cs="Times New Roman"/>
          <w:noProof/>
          <w:szCs w:val="24"/>
        </w:rPr>
      </w:pPr>
      <w:r w:rsidRPr="00975F6F">
        <w:rPr>
          <w:rFonts w:cs="Times New Roman"/>
          <w:noProof/>
          <w:szCs w:val="24"/>
          <w:lang w:val="ru-RU"/>
        </w:rPr>
        <w:t>*</w:t>
      </w:r>
      <w:r w:rsidR="00972AA7" w:rsidRPr="00972AA7">
        <w:rPr>
          <w:rFonts w:cs="Times New Roman"/>
          <w:noProof/>
          <w:szCs w:val="24"/>
        </w:rPr>
        <w:t>Въз основа на приложение VII от Регламента за RRF. Освен това беше извършена качествена оценка на данните, за да се даде възможност за оценка на възможния принос на мерките на RRF към целите на цифровото десетилетие, а останалата част също подкрепя общите цели на цифровото десетилетие. Това се отнася за всички описания на RRP, включени в това приложение. Предоставената информация се отнася до Плана за възстановяване и устойчивост, приет от Съвета преди 1 септември 2023 г., без да се засягат потенциалните текущи ревизии на плана.</w:t>
      </w:r>
    </w:p>
    <w:p w:rsidR="00EC23C7" w:rsidRPr="00EB614C" w:rsidRDefault="00FD0388" w:rsidP="00C74927">
      <w:pPr>
        <w:keepNext/>
        <w:spacing w:before="360" w:after="180" w:line="280" w:lineRule="exact"/>
        <w:rPr>
          <w:rFonts w:eastAsia="Arial" w:cs="Times New Roman"/>
          <w:b/>
          <w:iCs/>
          <w:szCs w:val="24"/>
        </w:rPr>
      </w:pPr>
      <w:r>
        <w:rPr>
          <w:rFonts w:eastAsia="Arial" w:cs="Times New Roman"/>
          <w:b/>
          <w:iCs/>
          <w:szCs w:val="24"/>
          <w:lang w:val="en-US"/>
        </w:rPr>
        <w:t xml:space="preserve">3. </w:t>
      </w:r>
      <w:r w:rsidR="00EC23C7" w:rsidRPr="00EC23C7">
        <w:rPr>
          <w:rFonts w:eastAsia="Arial" w:cs="Times New Roman"/>
          <w:b/>
          <w:iCs/>
          <w:szCs w:val="24"/>
        </w:rPr>
        <w:t>Цифровата икономика в България</w:t>
      </w:r>
      <w:r w:rsidR="00EB614C">
        <w:rPr>
          <w:rFonts w:eastAsia="Arial" w:cs="Times New Roman"/>
          <w:b/>
          <w:iCs/>
          <w:szCs w:val="24"/>
        </w:rPr>
        <w:t>.ОИСР</w:t>
      </w:r>
    </w:p>
    <w:tbl>
      <w:tblPr>
        <w:tblStyle w:val="OECD"/>
        <w:tblpPr w:leftFromText="180" w:rightFromText="180" w:vertAnchor="text" w:tblpY="1"/>
        <w:tblOverlap w:val="never"/>
        <w:tblW w:w="7938" w:type="dxa"/>
        <w:tblLook w:val="04A0" w:firstRow="1" w:lastRow="0" w:firstColumn="1" w:lastColumn="0" w:noHBand="0" w:noVBand="1"/>
      </w:tblPr>
      <w:tblGrid>
        <w:gridCol w:w="5748"/>
        <w:gridCol w:w="1280"/>
        <w:gridCol w:w="910"/>
      </w:tblGrid>
      <w:tr w:rsidR="00C74927" w:rsidRPr="00EC23C7" w:rsidTr="00EC23C7">
        <w:trPr>
          <w:cnfStyle w:val="100000000000" w:firstRow="1" w:lastRow="0" w:firstColumn="0" w:lastColumn="0" w:oddVBand="0" w:evenVBand="0" w:oddHBand="0" w:evenHBand="0" w:firstRowFirstColumn="0" w:firstRowLastColumn="0" w:lastRowFirstColumn="0" w:lastRowLastColumn="0"/>
        </w:trPr>
        <w:tc>
          <w:tcPr>
            <w:tcW w:w="0" w:type="auto"/>
            <w:hideMark/>
          </w:tcPr>
          <w:p w:rsidR="00C74927" w:rsidRPr="00EC23C7" w:rsidRDefault="00EC23C7" w:rsidP="00EC23C7">
            <w:pPr>
              <w:spacing w:before="20" w:after="0" w:line="220" w:lineRule="exact"/>
              <w:jc w:val="center"/>
              <w:rPr>
                <w:rFonts w:eastAsia="Arial" w:cs="Times New Roman"/>
                <w:b/>
                <w:bCs/>
                <w:color w:val="000000"/>
                <w:szCs w:val="24"/>
                <w:lang w:val="bg-BG"/>
              </w:rPr>
            </w:pPr>
            <w:r>
              <w:rPr>
                <w:rFonts w:eastAsia="Arial" w:cs="Times New Roman"/>
                <w:b/>
                <w:bCs/>
                <w:color w:val="000000"/>
                <w:szCs w:val="24"/>
                <w:lang w:val="bg-BG"/>
              </w:rPr>
              <w:t>Индикатори</w:t>
            </w:r>
          </w:p>
        </w:tc>
        <w:tc>
          <w:tcPr>
            <w:tcW w:w="0" w:type="auto"/>
            <w:hideMark/>
          </w:tcPr>
          <w:p w:rsidR="00C74927" w:rsidRPr="00EB614C" w:rsidRDefault="00EB614C" w:rsidP="00EC23C7">
            <w:pPr>
              <w:spacing w:before="20" w:after="0" w:line="220" w:lineRule="exact"/>
              <w:jc w:val="center"/>
              <w:rPr>
                <w:rFonts w:eastAsia="Arial" w:cs="Times New Roman"/>
                <w:b/>
                <w:bCs/>
                <w:color w:val="000000"/>
                <w:szCs w:val="24"/>
                <w:lang w:val="bg-BG"/>
              </w:rPr>
            </w:pPr>
            <w:r>
              <w:rPr>
                <w:rFonts w:eastAsia="Arial" w:cs="Times New Roman"/>
                <w:b/>
                <w:bCs/>
                <w:color w:val="000000"/>
                <w:szCs w:val="24"/>
                <w:lang w:val="bg-BG"/>
              </w:rPr>
              <w:t>България</w:t>
            </w:r>
          </w:p>
        </w:tc>
        <w:tc>
          <w:tcPr>
            <w:tcW w:w="0" w:type="auto"/>
            <w:hideMark/>
          </w:tcPr>
          <w:p w:rsidR="00C74927" w:rsidRPr="00EB614C" w:rsidRDefault="00EB614C" w:rsidP="00EC23C7">
            <w:pPr>
              <w:spacing w:before="20" w:after="0" w:line="220" w:lineRule="exact"/>
              <w:jc w:val="center"/>
              <w:rPr>
                <w:rFonts w:eastAsia="Arial" w:cs="Times New Roman"/>
                <w:b/>
                <w:bCs/>
                <w:color w:val="000000"/>
                <w:szCs w:val="24"/>
                <w:lang w:val="bg-BG"/>
              </w:rPr>
            </w:pPr>
            <w:r>
              <w:rPr>
                <w:rFonts w:eastAsia="Arial" w:cs="Times New Roman"/>
                <w:b/>
                <w:bCs/>
                <w:color w:val="000000"/>
                <w:szCs w:val="24"/>
                <w:lang w:val="bg-BG"/>
              </w:rPr>
              <w:t>ОИСР</w:t>
            </w:r>
          </w:p>
        </w:tc>
      </w:tr>
      <w:tr w:rsidR="00C74927" w:rsidRPr="00EC23C7" w:rsidTr="00EC23C7">
        <w:tc>
          <w:tcPr>
            <w:tcW w:w="0" w:type="auto"/>
            <w:hideMark/>
          </w:tcPr>
          <w:p w:rsidR="00C74927" w:rsidRPr="00EC23C7" w:rsidRDefault="00EC23C7" w:rsidP="00EC23C7">
            <w:pPr>
              <w:rPr>
                <w:rFonts w:eastAsia="Arial" w:cs="Times New Roman"/>
                <w:b/>
                <w:bCs/>
                <w:color w:val="000000"/>
                <w:szCs w:val="24"/>
                <w:lang w:val="bg-BG"/>
              </w:rPr>
            </w:pPr>
            <w:r>
              <w:rPr>
                <w:rFonts w:eastAsia="Arial" w:cs="Times New Roman"/>
                <w:b/>
                <w:bCs/>
                <w:color w:val="000000"/>
                <w:szCs w:val="24"/>
                <w:lang w:val="bg-BG"/>
              </w:rPr>
              <w:t>Достъп</w:t>
            </w:r>
          </w:p>
        </w:tc>
        <w:tc>
          <w:tcPr>
            <w:tcW w:w="0" w:type="auto"/>
            <w:hideMark/>
          </w:tcPr>
          <w:p w:rsidR="00C74927" w:rsidRPr="00EC23C7" w:rsidRDefault="00C74927" w:rsidP="00EC23C7">
            <w:pPr>
              <w:spacing w:before="20" w:after="0" w:line="220" w:lineRule="exact"/>
              <w:jc w:val="center"/>
              <w:rPr>
                <w:rFonts w:eastAsia="Arial" w:cs="Times New Roman"/>
                <w:color w:val="000000"/>
                <w:szCs w:val="24"/>
                <w:lang w:val="en-GB"/>
              </w:rPr>
            </w:pPr>
            <w:r w:rsidRPr="00EC23C7">
              <w:rPr>
                <w:rFonts w:eastAsia="Arial" w:cs="Times New Roman"/>
                <w:color w:val="000000"/>
                <w:szCs w:val="24"/>
                <w:lang w:val="en-GB"/>
              </w:rPr>
              <w:t> </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r>
      <w:tr w:rsidR="00C74927" w:rsidRPr="00EC23C7" w:rsidTr="00EC23C7">
        <w:tc>
          <w:tcPr>
            <w:tcW w:w="0" w:type="auto"/>
            <w:hideMark/>
          </w:tcPr>
          <w:p w:rsidR="00C74927" w:rsidRPr="00EC23C7" w:rsidRDefault="005A6127" w:rsidP="00EC23C7">
            <w:pPr>
              <w:rPr>
                <w:rFonts w:eastAsia="Arial" w:cs="Times New Roman"/>
                <w:color w:val="000000"/>
                <w:szCs w:val="24"/>
                <w:lang w:val="en-GB"/>
              </w:rPr>
            </w:pPr>
            <w:r>
              <w:rPr>
                <w:rFonts w:eastAsia="Arial" w:cs="Times New Roman"/>
                <w:color w:val="000000"/>
                <w:szCs w:val="24"/>
                <w:lang w:val="bg-BG"/>
              </w:rPr>
              <w:t>Домакинства с широколентова връзка</w:t>
            </w:r>
            <w:r w:rsidR="00C74927" w:rsidRPr="00EC23C7">
              <w:rPr>
                <w:rFonts w:eastAsia="Arial" w:cs="Times New Roman"/>
                <w:color w:val="000000"/>
                <w:szCs w:val="24"/>
                <w:lang w:val="en-GB"/>
              </w:rPr>
              <w:t xml:space="preserve"> (2022)</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83.5%</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90.8%</w:t>
            </w:r>
          </w:p>
        </w:tc>
      </w:tr>
      <w:tr w:rsidR="00C74927" w:rsidRPr="00EC23C7" w:rsidTr="00EC23C7">
        <w:tc>
          <w:tcPr>
            <w:tcW w:w="0" w:type="auto"/>
            <w:hideMark/>
          </w:tcPr>
          <w:p w:rsidR="00C74927" w:rsidRPr="00975F6F" w:rsidRDefault="005A6127" w:rsidP="00EC23C7">
            <w:pPr>
              <w:rPr>
                <w:rFonts w:eastAsia="Arial" w:cs="Times New Roman"/>
                <w:color w:val="000000"/>
                <w:szCs w:val="24"/>
                <w:lang w:val="ru-RU"/>
              </w:rPr>
            </w:pPr>
            <w:r>
              <w:rPr>
                <w:rFonts w:eastAsia="Arial" w:cs="Times New Roman"/>
                <w:color w:val="000000"/>
                <w:szCs w:val="24"/>
                <w:lang w:val="bg-BG"/>
              </w:rPr>
              <w:t xml:space="preserve"> Фиксирани широколентови абонаменти на 100 жители</w:t>
            </w:r>
            <w:r w:rsidR="00C74927" w:rsidRPr="00975F6F">
              <w:rPr>
                <w:rFonts w:eastAsia="Arial" w:cs="Times New Roman"/>
                <w:color w:val="000000"/>
                <w:szCs w:val="24"/>
                <w:lang w:val="ru-RU"/>
              </w:rPr>
              <w:t xml:space="preserve"> (12/2022)</w:t>
            </w:r>
          </w:p>
        </w:tc>
        <w:tc>
          <w:tcPr>
            <w:tcW w:w="0" w:type="auto"/>
            <w:hideMark/>
          </w:tcPr>
          <w:p w:rsidR="00C74927" w:rsidRPr="00EC23C7" w:rsidRDefault="00C74927" w:rsidP="00EC23C7">
            <w:pPr>
              <w:widowControl w:val="0"/>
              <w:jc w:val="center"/>
              <w:rPr>
                <w:rFonts w:eastAsia="Arial" w:cs="Times New Roman"/>
                <w:color w:val="000000"/>
                <w:szCs w:val="24"/>
                <w:lang w:val="en-GB"/>
              </w:rPr>
            </w:pPr>
            <w:r w:rsidRPr="00975F6F">
              <w:rPr>
                <w:rFonts w:eastAsia="Arial" w:cs="Times New Roman"/>
                <w:color w:val="000000"/>
                <w:szCs w:val="24"/>
                <w:lang w:val="ru-RU"/>
              </w:rPr>
              <w:t xml:space="preserve">   </w:t>
            </w:r>
            <w:r w:rsidRPr="00EC23C7">
              <w:rPr>
                <w:rFonts w:eastAsia="Arial" w:cs="Times New Roman"/>
                <w:color w:val="000000"/>
                <w:szCs w:val="24"/>
                <w:lang w:val="en-GB"/>
              </w:rPr>
              <w:t>35.9</w:t>
            </w:r>
          </w:p>
        </w:tc>
        <w:tc>
          <w:tcPr>
            <w:tcW w:w="0" w:type="auto"/>
            <w:hideMark/>
          </w:tcPr>
          <w:p w:rsidR="00C74927" w:rsidRPr="00EC23C7" w:rsidRDefault="00C74927" w:rsidP="00EC23C7">
            <w:pPr>
              <w:widowControl w:val="0"/>
              <w:rPr>
                <w:rFonts w:eastAsia="Arial" w:cs="Times New Roman"/>
                <w:color w:val="000000"/>
                <w:szCs w:val="24"/>
                <w:lang w:val="en-GB"/>
              </w:rPr>
            </w:pPr>
            <w:r w:rsidRPr="00EC23C7">
              <w:rPr>
                <w:rFonts w:eastAsia="Arial" w:cs="Times New Roman"/>
                <w:color w:val="000000"/>
                <w:szCs w:val="24"/>
                <w:lang w:val="en-GB"/>
              </w:rPr>
              <w:t xml:space="preserve"> 34.9</w:t>
            </w:r>
          </w:p>
        </w:tc>
      </w:tr>
      <w:tr w:rsidR="00C74927" w:rsidRPr="00EC23C7" w:rsidTr="00EC23C7">
        <w:tc>
          <w:tcPr>
            <w:tcW w:w="0" w:type="auto"/>
            <w:hideMark/>
          </w:tcPr>
          <w:p w:rsidR="00C74927" w:rsidRPr="00975F6F" w:rsidRDefault="005A6127" w:rsidP="00EC23C7">
            <w:pPr>
              <w:rPr>
                <w:rFonts w:eastAsia="Arial" w:cs="Times New Roman"/>
                <w:color w:val="000000"/>
                <w:szCs w:val="24"/>
                <w:lang w:val="ru-RU"/>
              </w:rPr>
            </w:pPr>
            <w:r>
              <w:rPr>
                <w:rFonts w:eastAsia="Arial" w:cs="Times New Roman"/>
                <w:color w:val="000000"/>
                <w:szCs w:val="24"/>
                <w:lang w:val="bg-BG"/>
              </w:rPr>
              <w:t>Фиксирани широколентови абонаменти на 100 жители</w:t>
            </w:r>
            <w:r w:rsidRPr="00975F6F">
              <w:rPr>
                <w:rFonts w:eastAsia="Arial" w:cs="Times New Roman"/>
                <w:color w:val="000000"/>
                <w:szCs w:val="24"/>
                <w:lang w:val="ru-RU"/>
              </w:rPr>
              <w:t xml:space="preserve"> (12/2022)</w:t>
            </w:r>
          </w:p>
        </w:tc>
        <w:tc>
          <w:tcPr>
            <w:tcW w:w="0" w:type="auto"/>
            <w:hideMark/>
          </w:tcPr>
          <w:p w:rsidR="00C74927" w:rsidRPr="00EC23C7" w:rsidRDefault="00C74927" w:rsidP="00EC23C7">
            <w:pPr>
              <w:widowControl w:val="0"/>
              <w:jc w:val="center"/>
              <w:rPr>
                <w:rFonts w:eastAsia="Arial" w:cs="Times New Roman"/>
                <w:color w:val="000000"/>
                <w:szCs w:val="24"/>
                <w:lang w:val="en-GB"/>
              </w:rPr>
            </w:pPr>
            <w:r w:rsidRPr="00975F6F">
              <w:rPr>
                <w:rFonts w:eastAsia="Arial" w:cs="Times New Roman"/>
                <w:color w:val="000000"/>
                <w:szCs w:val="24"/>
                <w:lang w:val="ru-RU"/>
              </w:rPr>
              <w:t xml:space="preserve">  </w:t>
            </w:r>
            <w:r w:rsidRPr="00EC23C7">
              <w:rPr>
                <w:rFonts w:eastAsia="Arial" w:cs="Times New Roman"/>
                <w:color w:val="000000"/>
                <w:szCs w:val="24"/>
                <w:lang w:val="en-GB"/>
              </w:rPr>
              <w:t>105.5</w:t>
            </w:r>
          </w:p>
        </w:tc>
        <w:tc>
          <w:tcPr>
            <w:tcW w:w="0" w:type="auto"/>
            <w:hideMark/>
          </w:tcPr>
          <w:p w:rsidR="00C74927" w:rsidRPr="00EC23C7" w:rsidRDefault="00C74927" w:rsidP="00EC23C7">
            <w:pPr>
              <w:widowControl w:val="0"/>
              <w:rPr>
                <w:rFonts w:eastAsia="Arial" w:cs="Times New Roman"/>
                <w:color w:val="000000"/>
                <w:szCs w:val="24"/>
                <w:lang w:val="en-GB"/>
              </w:rPr>
            </w:pPr>
            <w:r w:rsidRPr="00EC23C7">
              <w:rPr>
                <w:rFonts w:eastAsia="Arial" w:cs="Times New Roman"/>
                <w:color w:val="000000"/>
                <w:szCs w:val="24"/>
                <w:lang w:val="en-GB"/>
              </w:rPr>
              <w:t>127.9</w:t>
            </w:r>
          </w:p>
        </w:tc>
      </w:tr>
      <w:tr w:rsidR="00C74927" w:rsidRPr="00EC23C7" w:rsidTr="00EC23C7">
        <w:tc>
          <w:tcPr>
            <w:tcW w:w="0" w:type="auto"/>
            <w:hideMark/>
          </w:tcPr>
          <w:p w:rsidR="00C74927" w:rsidRPr="00EC23C7" w:rsidRDefault="00EC23C7" w:rsidP="00EC23C7">
            <w:pPr>
              <w:rPr>
                <w:rFonts w:eastAsia="Arial" w:cs="Times New Roman"/>
                <w:b/>
                <w:bCs/>
                <w:color w:val="000000"/>
                <w:szCs w:val="24"/>
                <w:lang w:val="bg-BG"/>
              </w:rPr>
            </w:pPr>
            <w:r>
              <w:rPr>
                <w:rFonts w:eastAsia="Arial" w:cs="Times New Roman"/>
                <w:b/>
                <w:bCs/>
                <w:color w:val="000000"/>
                <w:szCs w:val="24"/>
                <w:lang w:val="bg-BG"/>
              </w:rPr>
              <w:t>Използване</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r>
      <w:tr w:rsidR="00C74927" w:rsidRPr="00EC23C7" w:rsidTr="00EC23C7">
        <w:tc>
          <w:tcPr>
            <w:tcW w:w="0" w:type="auto"/>
            <w:hideMark/>
          </w:tcPr>
          <w:p w:rsidR="00C74927" w:rsidRPr="00975F6F" w:rsidRDefault="007359C4" w:rsidP="007359C4">
            <w:pPr>
              <w:rPr>
                <w:rFonts w:eastAsia="Arial" w:cs="Times New Roman"/>
                <w:color w:val="000000"/>
                <w:szCs w:val="24"/>
                <w:lang w:val="ru-RU"/>
              </w:rPr>
            </w:pPr>
            <w:r>
              <w:rPr>
                <w:rFonts w:eastAsia="Arial" w:cs="Times New Roman"/>
                <w:color w:val="000000"/>
                <w:szCs w:val="24"/>
                <w:lang w:val="bg-BG"/>
              </w:rPr>
              <w:t xml:space="preserve">Лица използващи интернет – в последните 12 месеца </w:t>
            </w:r>
            <w:r w:rsidR="00C74927" w:rsidRPr="00975F6F">
              <w:rPr>
                <w:rFonts w:eastAsia="Arial" w:cs="Times New Roman"/>
                <w:color w:val="000000"/>
                <w:szCs w:val="24"/>
                <w:lang w:val="ru-RU"/>
              </w:rPr>
              <w:t>(2022)</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83.1%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92.6%</w:t>
            </w:r>
          </w:p>
        </w:tc>
      </w:tr>
      <w:tr w:rsidR="00C74927" w:rsidRPr="00EC23C7" w:rsidTr="00EC23C7">
        <w:tc>
          <w:tcPr>
            <w:tcW w:w="0" w:type="auto"/>
            <w:hideMark/>
          </w:tcPr>
          <w:p w:rsidR="00C74927" w:rsidRPr="00975F6F" w:rsidRDefault="007359C4" w:rsidP="007359C4">
            <w:pPr>
              <w:rPr>
                <w:rFonts w:eastAsia="Arial" w:cs="Times New Roman"/>
                <w:color w:val="000000"/>
                <w:szCs w:val="24"/>
                <w:lang w:val="ru-RU"/>
              </w:rPr>
            </w:pPr>
            <w:r>
              <w:rPr>
                <w:rFonts w:eastAsia="Arial" w:cs="Times New Roman"/>
                <w:color w:val="000000"/>
                <w:szCs w:val="24"/>
                <w:lang w:val="bg-BG"/>
              </w:rPr>
              <w:t xml:space="preserve">Лица използващи интернет за взаимодействие с публичните органи -  в последните 12 месеца </w:t>
            </w:r>
            <w:r w:rsidR="00C74927" w:rsidRPr="00975F6F">
              <w:rPr>
                <w:rFonts w:eastAsia="Arial" w:cs="Times New Roman"/>
                <w:color w:val="000000"/>
                <w:szCs w:val="24"/>
                <w:lang w:val="ru-RU"/>
              </w:rPr>
              <w:t>(2021)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26.6%</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66.5%</w:t>
            </w:r>
          </w:p>
        </w:tc>
      </w:tr>
      <w:tr w:rsidR="00C74927" w:rsidRPr="00EC23C7" w:rsidTr="00EC23C7">
        <w:tc>
          <w:tcPr>
            <w:tcW w:w="0" w:type="auto"/>
            <w:hideMark/>
          </w:tcPr>
          <w:p w:rsidR="00C74927" w:rsidRPr="00975F6F" w:rsidRDefault="00E63B41" w:rsidP="00EC23C7">
            <w:pPr>
              <w:rPr>
                <w:rFonts w:eastAsia="Arial" w:cs="Times New Roman"/>
                <w:color w:val="000000"/>
                <w:szCs w:val="24"/>
                <w:lang w:val="ru-RU"/>
              </w:rPr>
            </w:pPr>
            <w:r>
              <w:rPr>
                <w:rFonts w:eastAsia="Arial" w:cs="Times New Roman"/>
                <w:color w:val="000000"/>
                <w:szCs w:val="24"/>
                <w:lang w:val="bg-BG"/>
              </w:rPr>
              <w:t>Л</w:t>
            </w:r>
            <w:r w:rsidR="00F50DBA">
              <w:rPr>
                <w:rFonts w:eastAsia="Arial" w:cs="Times New Roman"/>
                <w:color w:val="000000"/>
                <w:szCs w:val="24"/>
                <w:lang w:val="bg-BG"/>
              </w:rPr>
              <w:t xml:space="preserve">ица купуващи </w:t>
            </w:r>
            <w:r>
              <w:rPr>
                <w:rFonts w:eastAsia="Arial" w:cs="Times New Roman"/>
                <w:color w:val="000000"/>
                <w:szCs w:val="24"/>
                <w:lang w:val="bg-BG"/>
              </w:rPr>
              <w:t xml:space="preserve"> онлайн -  в последните 12 месеца </w:t>
            </w:r>
            <w:r w:rsidR="00C74927" w:rsidRPr="00975F6F">
              <w:rPr>
                <w:rFonts w:eastAsia="Arial" w:cs="Times New Roman"/>
                <w:color w:val="000000"/>
                <w:szCs w:val="24"/>
                <w:lang w:val="ru-RU"/>
              </w:rPr>
              <w:t xml:space="preserve"> (2022)</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40.5%</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71.5%</w:t>
            </w:r>
          </w:p>
        </w:tc>
      </w:tr>
      <w:tr w:rsidR="00C74927" w:rsidRPr="00EC23C7" w:rsidTr="00EC23C7">
        <w:tc>
          <w:tcPr>
            <w:tcW w:w="0" w:type="auto"/>
            <w:hideMark/>
          </w:tcPr>
          <w:p w:rsidR="00C74927" w:rsidRPr="00EC23C7" w:rsidRDefault="00C74927" w:rsidP="00EC23C7">
            <w:pPr>
              <w:rPr>
                <w:rFonts w:eastAsia="Arial" w:cs="Times New Roman"/>
                <w:color w:val="000000"/>
                <w:szCs w:val="24"/>
                <w:lang w:val="en-GB"/>
              </w:rPr>
            </w:pPr>
            <w:r w:rsidRPr="00EC23C7">
              <w:rPr>
                <w:rFonts w:eastAsia="Arial" w:cs="Times New Roman"/>
                <w:color w:val="000000"/>
                <w:szCs w:val="24"/>
                <w:lang w:val="en-GB"/>
              </w:rPr>
              <w:t xml:space="preserve"> </w:t>
            </w:r>
            <w:r w:rsidR="00F50DBA">
              <w:rPr>
                <w:rFonts w:eastAsia="Arial" w:cs="Times New Roman"/>
                <w:color w:val="000000"/>
                <w:szCs w:val="24"/>
                <w:lang w:val="bg-BG"/>
              </w:rPr>
              <w:t xml:space="preserve">Бизнеси с уеб сайт </w:t>
            </w:r>
            <w:r w:rsidRPr="00EC23C7">
              <w:rPr>
                <w:rFonts w:eastAsia="Arial" w:cs="Times New Roman"/>
                <w:color w:val="000000"/>
                <w:szCs w:val="24"/>
                <w:lang w:val="en-GB"/>
              </w:rPr>
              <w:t>(2021)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51.9%</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78.1%</w:t>
            </w:r>
          </w:p>
        </w:tc>
      </w:tr>
      <w:tr w:rsidR="00C74927" w:rsidRPr="00EC23C7" w:rsidTr="008D3949">
        <w:trPr>
          <w:trHeight w:val="375"/>
        </w:trPr>
        <w:tc>
          <w:tcPr>
            <w:tcW w:w="0" w:type="auto"/>
            <w:hideMark/>
          </w:tcPr>
          <w:p w:rsidR="00C74927" w:rsidRPr="00EC23C7" w:rsidRDefault="00F50DBA" w:rsidP="00EC23C7">
            <w:pPr>
              <w:rPr>
                <w:rFonts w:eastAsia="Arial" w:cs="Times New Roman"/>
                <w:color w:val="000000"/>
                <w:szCs w:val="24"/>
                <w:lang w:val="en-GB"/>
              </w:rPr>
            </w:pPr>
            <w:r>
              <w:rPr>
                <w:rFonts w:eastAsia="Arial" w:cs="Times New Roman"/>
                <w:color w:val="000000"/>
                <w:szCs w:val="24"/>
                <w:lang w:val="bg-BG"/>
              </w:rPr>
              <w:t xml:space="preserve">Бизнеси купуващи облачни услуги </w:t>
            </w:r>
            <w:r w:rsidR="00C74927" w:rsidRPr="00EC23C7">
              <w:rPr>
                <w:rFonts w:eastAsia="Arial" w:cs="Times New Roman"/>
                <w:color w:val="000000"/>
                <w:szCs w:val="24"/>
                <w:lang w:val="en-GB"/>
              </w:rPr>
              <w:t xml:space="preserve"> (2021)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12.8%</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45.0%</w:t>
            </w:r>
          </w:p>
        </w:tc>
      </w:tr>
      <w:tr w:rsidR="00C74927" w:rsidRPr="00EC23C7" w:rsidTr="00EC23C7">
        <w:tc>
          <w:tcPr>
            <w:tcW w:w="0" w:type="auto"/>
            <w:hideMark/>
          </w:tcPr>
          <w:p w:rsidR="00C74927" w:rsidRPr="00EC23C7" w:rsidRDefault="00C74927" w:rsidP="00EC23C7">
            <w:pPr>
              <w:rPr>
                <w:rFonts w:eastAsia="Arial" w:cs="Times New Roman"/>
                <w:color w:val="000000"/>
                <w:szCs w:val="24"/>
                <w:lang w:val="en-GB"/>
              </w:rPr>
            </w:pPr>
            <w:r w:rsidRPr="00EC23C7">
              <w:rPr>
                <w:rFonts w:eastAsia="Arial" w:cs="Times New Roman"/>
                <w:color w:val="000000"/>
                <w:szCs w:val="24"/>
                <w:lang w:val="en-GB"/>
              </w:rPr>
              <w:t xml:space="preserve"> </w:t>
            </w:r>
            <w:r w:rsidR="008D3949">
              <w:rPr>
                <w:rFonts w:eastAsia="Arial" w:cs="Times New Roman"/>
                <w:color w:val="000000"/>
                <w:szCs w:val="24"/>
                <w:lang w:val="bg-BG"/>
              </w:rPr>
              <w:t xml:space="preserve">Бизнеси използващи ИИ </w:t>
            </w:r>
            <w:r w:rsidRPr="00EC23C7">
              <w:rPr>
                <w:rFonts w:eastAsia="Arial" w:cs="Times New Roman"/>
                <w:color w:val="000000"/>
                <w:szCs w:val="24"/>
                <w:lang w:val="en-GB"/>
              </w:rPr>
              <w:t>(2021)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3.3%</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8.2%</w:t>
            </w:r>
          </w:p>
        </w:tc>
      </w:tr>
      <w:tr w:rsidR="00C74927" w:rsidRPr="00EC23C7" w:rsidTr="00EC23C7">
        <w:tc>
          <w:tcPr>
            <w:tcW w:w="0" w:type="auto"/>
            <w:hideMark/>
          </w:tcPr>
          <w:p w:rsidR="00C74927" w:rsidRPr="00EC23C7" w:rsidRDefault="00EC23C7" w:rsidP="00EC23C7">
            <w:pPr>
              <w:rPr>
                <w:rFonts w:eastAsia="Arial" w:cs="Times New Roman"/>
                <w:b/>
                <w:bCs/>
                <w:color w:val="000000"/>
                <w:szCs w:val="24"/>
                <w:lang w:val="bg-BG"/>
              </w:rPr>
            </w:pPr>
            <w:r>
              <w:rPr>
                <w:rFonts w:eastAsia="Arial" w:cs="Times New Roman"/>
                <w:b/>
                <w:bCs/>
                <w:color w:val="000000"/>
                <w:szCs w:val="24"/>
                <w:lang w:val="bg-BG"/>
              </w:rPr>
              <w:t>Иновации</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r>
      <w:tr w:rsidR="00C74927" w:rsidRPr="00EC23C7" w:rsidTr="00EC23C7">
        <w:tc>
          <w:tcPr>
            <w:tcW w:w="0" w:type="auto"/>
            <w:hideMark/>
          </w:tcPr>
          <w:p w:rsidR="00C74927" w:rsidRPr="00554C54" w:rsidRDefault="00554C54" w:rsidP="00EC23C7">
            <w:pPr>
              <w:rPr>
                <w:rFonts w:eastAsia="Arial" w:cs="Times New Roman"/>
                <w:color w:val="000000"/>
                <w:szCs w:val="24"/>
                <w:lang w:val="bg-BG"/>
              </w:rPr>
            </w:pPr>
            <w:r>
              <w:rPr>
                <w:rFonts w:eastAsia="Arial" w:cs="Times New Roman"/>
                <w:color w:val="000000"/>
                <w:szCs w:val="24"/>
                <w:lang w:val="bg-BG"/>
              </w:rPr>
              <w:t xml:space="preserve"> ИКТ инвестиции като дял от БВП </w:t>
            </w:r>
            <w:r w:rsidRPr="00975F6F">
              <w:rPr>
                <w:rFonts w:eastAsia="Arial" w:cs="Times New Roman"/>
                <w:color w:val="000000"/>
                <w:szCs w:val="24"/>
                <w:lang w:val="ru-RU"/>
              </w:rPr>
              <w:t>(</w:t>
            </w:r>
            <w:r>
              <w:rPr>
                <w:rFonts w:eastAsia="Arial" w:cs="Times New Roman"/>
                <w:color w:val="000000"/>
                <w:szCs w:val="24"/>
                <w:lang w:val="bg-BG"/>
              </w:rPr>
              <w:t>2021 или последна налична година</w:t>
            </w:r>
            <w:r w:rsidRPr="00975F6F">
              <w:rPr>
                <w:rFonts w:eastAsia="Arial" w:cs="Times New Roman"/>
                <w:color w:val="000000"/>
                <w:szCs w:val="24"/>
                <w:lang w:val="ru-RU"/>
              </w:rPr>
              <w:t>)</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1.1%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3.3%</w:t>
            </w:r>
          </w:p>
        </w:tc>
      </w:tr>
      <w:tr w:rsidR="00C74927" w:rsidRPr="00EC23C7" w:rsidTr="00EC23C7">
        <w:tc>
          <w:tcPr>
            <w:tcW w:w="0" w:type="auto"/>
            <w:hideMark/>
          </w:tcPr>
          <w:p w:rsidR="00C74927" w:rsidRPr="00975F6F" w:rsidRDefault="00554C54" w:rsidP="00EC23C7">
            <w:pPr>
              <w:rPr>
                <w:rFonts w:eastAsia="Arial" w:cs="Times New Roman"/>
                <w:color w:val="000000"/>
                <w:szCs w:val="24"/>
                <w:lang w:val="ru-RU"/>
              </w:rPr>
            </w:pPr>
            <w:r>
              <w:rPr>
                <w:rFonts w:eastAsia="Arial" w:cs="Times New Roman"/>
                <w:color w:val="000000"/>
                <w:szCs w:val="24"/>
                <w:lang w:val="bg-BG"/>
              </w:rPr>
              <w:t xml:space="preserve"> НИРД като дял от БВП </w:t>
            </w:r>
            <w:r w:rsidR="00C74927" w:rsidRPr="00975F6F">
              <w:rPr>
                <w:rFonts w:eastAsia="Arial" w:cs="Times New Roman"/>
                <w:color w:val="000000"/>
                <w:szCs w:val="24"/>
                <w:lang w:val="ru-RU"/>
              </w:rPr>
              <w:t xml:space="preserve"> (</w:t>
            </w:r>
            <w:r>
              <w:rPr>
                <w:rFonts w:eastAsia="Arial" w:cs="Times New Roman"/>
                <w:color w:val="000000"/>
                <w:szCs w:val="24"/>
                <w:lang w:val="bg-BG"/>
              </w:rPr>
              <w:t>2022 или последна налична година</w:t>
            </w:r>
            <w:r w:rsidRPr="00975F6F">
              <w:rPr>
                <w:rFonts w:eastAsia="Arial" w:cs="Times New Roman"/>
                <w:color w:val="000000"/>
                <w:szCs w:val="24"/>
                <w:lang w:val="ru-RU"/>
              </w:rPr>
              <w:t>)</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0.77%</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2.71%</w:t>
            </w:r>
          </w:p>
        </w:tc>
      </w:tr>
      <w:tr w:rsidR="00C74927" w:rsidRPr="00EC23C7" w:rsidTr="00EC23C7">
        <w:tc>
          <w:tcPr>
            <w:tcW w:w="0" w:type="auto"/>
            <w:hideMark/>
          </w:tcPr>
          <w:p w:rsidR="00C74927" w:rsidRPr="00975F6F" w:rsidRDefault="006C09F7" w:rsidP="00EC23C7">
            <w:pPr>
              <w:rPr>
                <w:rFonts w:eastAsia="Arial" w:cs="Times New Roman"/>
                <w:color w:val="000000"/>
                <w:szCs w:val="24"/>
                <w:lang w:val="ru-RU"/>
              </w:rPr>
            </w:pPr>
            <w:r>
              <w:rPr>
                <w:rFonts w:eastAsia="Arial" w:cs="Times New Roman"/>
                <w:color w:val="000000"/>
                <w:szCs w:val="24"/>
                <w:lang w:val="bg-BG"/>
              </w:rPr>
              <w:t xml:space="preserve">Патенти в ИКТ като дял от всички патенти </w:t>
            </w:r>
            <w:r w:rsidR="00C74927" w:rsidRPr="00975F6F">
              <w:rPr>
                <w:rFonts w:eastAsia="Arial" w:cs="Times New Roman"/>
                <w:color w:val="000000"/>
                <w:szCs w:val="24"/>
                <w:lang w:val="ru-RU"/>
              </w:rPr>
              <w:t xml:space="preserve"> </w:t>
            </w:r>
            <w:r>
              <w:rPr>
                <w:rFonts w:eastAsia="Arial" w:cs="Times New Roman"/>
                <w:color w:val="000000"/>
                <w:szCs w:val="24"/>
                <w:lang w:val="bg-BG"/>
              </w:rPr>
              <w:t xml:space="preserve">   </w:t>
            </w:r>
            <w:r w:rsidR="00C74927" w:rsidRPr="00975F6F">
              <w:rPr>
                <w:rFonts w:eastAsia="Arial" w:cs="Times New Roman"/>
                <w:color w:val="000000"/>
                <w:szCs w:val="24"/>
                <w:lang w:val="ru-RU"/>
              </w:rPr>
              <w:t>(2021)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22.0%</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31.0%</w:t>
            </w:r>
          </w:p>
        </w:tc>
      </w:tr>
      <w:tr w:rsidR="00C74927" w:rsidRPr="00EC23C7" w:rsidTr="00EC23C7">
        <w:tc>
          <w:tcPr>
            <w:tcW w:w="0" w:type="auto"/>
            <w:hideMark/>
          </w:tcPr>
          <w:p w:rsidR="00C74927" w:rsidRPr="00EC23C7" w:rsidRDefault="00EC23C7" w:rsidP="00EC23C7">
            <w:pPr>
              <w:rPr>
                <w:rFonts w:eastAsia="Arial" w:cs="Times New Roman"/>
                <w:b/>
                <w:bCs/>
                <w:color w:val="000000"/>
                <w:szCs w:val="24"/>
                <w:lang w:val="bg-BG"/>
              </w:rPr>
            </w:pPr>
            <w:r>
              <w:rPr>
                <w:rFonts w:eastAsia="Arial" w:cs="Times New Roman"/>
                <w:b/>
                <w:bCs/>
                <w:color w:val="000000"/>
                <w:szCs w:val="24"/>
                <w:lang w:val="bg-BG"/>
              </w:rPr>
              <w:t>Работни места</w:t>
            </w:r>
            <w:r w:rsidR="00A21C93">
              <w:rPr>
                <w:rFonts w:eastAsia="Arial" w:cs="Times New Roman"/>
                <w:b/>
                <w:bCs/>
                <w:color w:val="000000"/>
                <w:szCs w:val="24"/>
                <w:lang w:val="bg-BG"/>
              </w:rPr>
              <w:t>/заетост</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r>
      <w:tr w:rsidR="00C74927" w:rsidRPr="00EC23C7" w:rsidTr="00EC23C7">
        <w:tc>
          <w:tcPr>
            <w:tcW w:w="0" w:type="auto"/>
            <w:hideMark/>
          </w:tcPr>
          <w:p w:rsidR="00C74927" w:rsidRPr="00975F6F" w:rsidRDefault="006C09F7" w:rsidP="00EC23C7">
            <w:pPr>
              <w:rPr>
                <w:rFonts w:eastAsia="Arial" w:cs="Times New Roman"/>
                <w:color w:val="000000"/>
                <w:szCs w:val="24"/>
                <w:lang w:val="ru-RU"/>
              </w:rPr>
            </w:pPr>
            <w:r>
              <w:rPr>
                <w:rFonts w:eastAsia="Arial" w:cs="Times New Roman"/>
                <w:color w:val="000000"/>
                <w:szCs w:val="24"/>
                <w:lang w:val="bg-BG"/>
              </w:rPr>
              <w:t xml:space="preserve"> Нови </w:t>
            </w:r>
            <w:r w:rsidRPr="00975F6F">
              <w:rPr>
                <w:rFonts w:eastAsia="Arial" w:cs="Times New Roman"/>
                <w:color w:val="000000"/>
                <w:szCs w:val="24"/>
                <w:lang w:val="ru-RU"/>
              </w:rPr>
              <w:t xml:space="preserve"> </w:t>
            </w:r>
            <w:r>
              <w:rPr>
                <w:rFonts w:eastAsia="Arial" w:cs="Times New Roman"/>
                <w:color w:val="000000"/>
                <w:szCs w:val="24"/>
                <w:lang w:val="bg-BG"/>
              </w:rPr>
              <w:t xml:space="preserve">завършили </w:t>
            </w:r>
            <w:r w:rsidRPr="00EC23C7">
              <w:rPr>
                <w:rFonts w:eastAsia="Arial" w:cs="Times New Roman"/>
                <w:color w:val="000000"/>
                <w:szCs w:val="24"/>
                <w:lang w:val="en-GB"/>
              </w:rPr>
              <w:t>STEM</w:t>
            </w:r>
            <w:r w:rsidRPr="00975F6F">
              <w:rPr>
                <w:rFonts w:eastAsia="Arial" w:cs="Times New Roman"/>
                <w:color w:val="000000"/>
                <w:szCs w:val="24"/>
                <w:lang w:val="ru-RU"/>
              </w:rPr>
              <w:t xml:space="preserve"> </w:t>
            </w:r>
            <w:r w:rsidR="00C74927" w:rsidRPr="00975F6F">
              <w:rPr>
                <w:rFonts w:eastAsia="Arial" w:cs="Times New Roman"/>
                <w:color w:val="000000"/>
                <w:szCs w:val="24"/>
                <w:lang w:val="ru-RU"/>
              </w:rPr>
              <w:t xml:space="preserve"> </w:t>
            </w:r>
            <w:r>
              <w:rPr>
                <w:rFonts w:eastAsia="Arial" w:cs="Times New Roman"/>
                <w:color w:val="000000"/>
                <w:szCs w:val="24"/>
                <w:lang w:val="bg-BG"/>
              </w:rPr>
              <w:t xml:space="preserve">като дял от всички нови завършили </w:t>
            </w:r>
            <w:r w:rsidR="00C74927" w:rsidRPr="00975F6F">
              <w:rPr>
                <w:rFonts w:eastAsia="Arial" w:cs="Times New Roman"/>
                <w:color w:val="000000"/>
                <w:szCs w:val="24"/>
                <w:lang w:val="ru-RU"/>
              </w:rPr>
              <w:t>(2021)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19.8%</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23.4%</w:t>
            </w:r>
          </w:p>
        </w:tc>
      </w:tr>
      <w:tr w:rsidR="00C74927" w:rsidRPr="00EC23C7" w:rsidTr="00EC23C7">
        <w:tc>
          <w:tcPr>
            <w:tcW w:w="0" w:type="auto"/>
            <w:hideMark/>
          </w:tcPr>
          <w:p w:rsidR="00C74927" w:rsidRPr="00975F6F" w:rsidRDefault="00A21C93" w:rsidP="00EC23C7">
            <w:pPr>
              <w:rPr>
                <w:rFonts w:eastAsia="Arial" w:cs="Times New Roman"/>
                <w:color w:val="000000"/>
                <w:szCs w:val="24"/>
                <w:lang w:val="ru-RU"/>
              </w:rPr>
            </w:pPr>
            <w:r>
              <w:rPr>
                <w:rFonts w:eastAsia="Arial" w:cs="Times New Roman"/>
                <w:color w:val="000000"/>
                <w:szCs w:val="24"/>
                <w:lang w:val="bg-BG"/>
              </w:rPr>
              <w:t xml:space="preserve">  Публични разходи за активни политики на трудовия пазар като дял от БВП </w:t>
            </w:r>
            <w:r w:rsidR="00C74927" w:rsidRPr="00975F6F">
              <w:rPr>
                <w:rFonts w:eastAsia="Arial" w:cs="Times New Roman"/>
                <w:color w:val="000000"/>
                <w:szCs w:val="24"/>
                <w:lang w:val="ru-RU"/>
              </w:rPr>
              <w:t xml:space="preserve">(2021 </w:t>
            </w:r>
            <w:r>
              <w:rPr>
                <w:rFonts w:eastAsia="Arial" w:cs="Times New Roman"/>
                <w:color w:val="000000"/>
                <w:szCs w:val="24"/>
                <w:lang w:val="bg-BG"/>
              </w:rPr>
              <w:t xml:space="preserve">или последна налична година </w:t>
            </w:r>
            <w:r w:rsidR="00C74927" w:rsidRPr="00975F6F">
              <w:rPr>
                <w:rFonts w:eastAsia="Arial" w:cs="Times New Roman"/>
                <w:color w:val="000000"/>
                <w:szCs w:val="24"/>
                <w:lang w:val="ru-RU"/>
              </w:rPr>
              <w:t>)</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1.06%</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0.83%</w:t>
            </w:r>
          </w:p>
        </w:tc>
      </w:tr>
      <w:tr w:rsidR="00C74927" w:rsidRPr="00EC23C7" w:rsidTr="00EC23C7">
        <w:tc>
          <w:tcPr>
            <w:tcW w:w="0" w:type="auto"/>
            <w:hideMark/>
          </w:tcPr>
          <w:p w:rsidR="00C74927" w:rsidRPr="00EC23C7" w:rsidRDefault="00EC23C7" w:rsidP="00EC23C7">
            <w:pPr>
              <w:rPr>
                <w:rFonts w:eastAsia="Arial" w:cs="Times New Roman"/>
                <w:b/>
                <w:bCs/>
                <w:color w:val="000000"/>
                <w:szCs w:val="24"/>
                <w:lang w:val="bg-BG"/>
              </w:rPr>
            </w:pPr>
            <w:r>
              <w:rPr>
                <w:rFonts w:eastAsia="Arial" w:cs="Times New Roman"/>
                <w:b/>
                <w:bCs/>
                <w:color w:val="000000"/>
                <w:szCs w:val="24"/>
                <w:lang w:val="bg-BG"/>
              </w:rPr>
              <w:lastRenderedPageBreak/>
              <w:t>Доверие</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 </w:t>
            </w:r>
          </w:p>
        </w:tc>
      </w:tr>
      <w:tr w:rsidR="00C74927" w:rsidRPr="00EC23C7" w:rsidTr="00EC23C7">
        <w:tc>
          <w:tcPr>
            <w:tcW w:w="0" w:type="auto"/>
            <w:hideMark/>
          </w:tcPr>
          <w:p w:rsidR="00C74927" w:rsidRPr="00975F6F" w:rsidRDefault="00A21C93" w:rsidP="00EC23C7">
            <w:pPr>
              <w:rPr>
                <w:rFonts w:eastAsia="Arial" w:cs="Times New Roman"/>
                <w:color w:val="000000"/>
                <w:szCs w:val="24"/>
                <w:lang w:val="ru-RU"/>
              </w:rPr>
            </w:pPr>
            <w:r>
              <w:rPr>
                <w:rFonts w:eastAsia="Arial" w:cs="Times New Roman"/>
                <w:color w:val="000000"/>
                <w:szCs w:val="24"/>
                <w:lang w:val="bg-BG"/>
              </w:rPr>
              <w:t xml:space="preserve">Интернет ползватели които не купуват онлайн поради съображения за сигурност при плащането </w:t>
            </w:r>
            <w:r w:rsidR="00C74927" w:rsidRPr="00975F6F">
              <w:rPr>
                <w:rFonts w:eastAsia="Arial" w:cs="Times New Roman"/>
                <w:color w:val="000000"/>
                <w:szCs w:val="24"/>
                <w:lang w:val="ru-RU"/>
              </w:rPr>
              <w:t xml:space="preserve">(2021 </w:t>
            </w:r>
            <w:r>
              <w:rPr>
                <w:rFonts w:eastAsia="Arial" w:cs="Times New Roman"/>
                <w:color w:val="000000"/>
                <w:szCs w:val="24"/>
                <w:lang w:val="bg-BG"/>
              </w:rPr>
              <w:t xml:space="preserve">или последна налична година </w:t>
            </w:r>
            <w:r w:rsidR="00C74927" w:rsidRPr="00975F6F">
              <w:rPr>
                <w:rFonts w:eastAsia="Arial" w:cs="Times New Roman"/>
                <w:color w:val="000000"/>
                <w:szCs w:val="24"/>
                <w:lang w:val="ru-RU"/>
              </w:rPr>
              <w:t xml:space="preserve">) </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3.5%</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22.5%</w:t>
            </w:r>
          </w:p>
        </w:tc>
      </w:tr>
      <w:tr w:rsidR="00C74927" w:rsidRPr="00EC23C7" w:rsidTr="00EC23C7">
        <w:tc>
          <w:tcPr>
            <w:tcW w:w="0" w:type="auto"/>
            <w:hideMark/>
          </w:tcPr>
          <w:p w:rsidR="00C74927" w:rsidRPr="00975F6F" w:rsidRDefault="00A21C93" w:rsidP="00A21C93">
            <w:pPr>
              <w:rPr>
                <w:rFonts w:eastAsia="Arial" w:cs="Times New Roman"/>
                <w:color w:val="000000"/>
                <w:szCs w:val="24"/>
                <w:lang w:val="ru-RU"/>
              </w:rPr>
            </w:pPr>
            <w:r>
              <w:rPr>
                <w:rFonts w:eastAsia="Arial" w:cs="Times New Roman"/>
                <w:color w:val="000000"/>
                <w:szCs w:val="24"/>
                <w:lang w:val="bg-BG"/>
              </w:rPr>
              <w:t xml:space="preserve">Интернет ползватели които изпитват проблеми със сигурността </w:t>
            </w:r>
            <w:r w:rsidR="00C74927" w:rsidRPr="00975F6F">
              <w:rPr>
                <w:rFonts w:eastAsia="Arial" w:cs="Times New Roman"/>
                <w:color w:val="000000"/>
                <w:szCs w:val="24"/>
                <w:lang w:val="ru-RU"/>
              </w:rPr>
              <w:t>(2021</w:t>
            </w:r>
            <w:r>
              <w:rPr>
                <w:rFonts w:eastAsia="Arial" w:cs="Times New Roman"/>
                <w:color w:val="000000"/>
                <w:szCs w:val="24"/>
                <w:lang w:val="bg-BG"/>
              </w:rPr>
              <w:t>или последна налична година</w:t>
            </w:r>
            <w:r w:rsidR="00C74927" w:rsidRPr="00975F6F">
              <w:rPr>
                <w:rFonts w:eastAsia="Arial" w:cs="Times New Roman"/>
                <w:color w:val="000000"/>
                <w:szCs w:val="24"/>
                <w:lang w:val="ru-RU"/>
              </w:rPr>
              <w:t>)</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13.5%</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31.8%</w:t>
            </w:r>
          </w:p>
        </w:tc>
      </w:tr>
      <w:tr w:rsidR="00C74927" w:rsidRPr="00EC23C7" w:rsidTr="00EC23C7">
        <w:tc>
          <w:tcPr>
            <w:tcW w:w="0" w:type="auto"/>
            <w:hideMark/>
          </w:tcPr>
          <w:p w:rsidR="00C74927" w:rsidRPr="00975F6F" w:rsidRDefault="00C74927" w:rsidP="009561B0">
            <w:pPr>
              <w:rPr>
                <w:rFonts w:eastAsia="Arial" w:cs="Times New Roman"/>
                <w:color w:val="000000"/>
                <w:szCs w:val="24"/>
                <w:lang w:val="ru-RU"/>
              </w:rPr>
            </w:pPr>
            <w:r w:rsidRPr="00975F6F">
              <w:rPr>
                <w:rFonts w:eastAsia="Arial" w:cs="Times New Roman"/>
                <w:color w:val="000000"/>
                <w:szCs w:val="24"/>
                <w:lang w:val="ru-RU"/>
              </w:rPr>
              <w:t xml:space="preserve"> </w:t>
            </w:r>
            <w:r w:rsidR="00A21C93">
              <w:rPr>
                <w:rFonts w:eastAsia="Arial" w:cs="Times New Roman"/>
                <w:color w:val="000000"/>
                <w:szCs w:val="24"/>
                <w:lang w:val="bg-BG"/>
              </w:rPr>
              <w:t>Бизнеси</w:t>
            </w:r>
            <w:r w:rsidR="009561B0" w:rsidRPr="00975F6F">
              <w:rPr>
                <w:rFonts w:eastAsia="Arial" w:cs="Times New Roman"/>
                <w:color w:val="000000"/>
                <w:szCs w:val="24"/>
                <w:lang w:val="ru-RU"/>
              </w:rPr>
              <w:t xml:space="preserve"> </w:t>
            </w:r>
            <w:r w:rsidR="009561B0">
              <w:rPr>
                <w:rFonts w:eastAsia="Arial" w:cs="Times New Roman"/>
                <w:color w:val="000000"/>
                <w:szCs w:val="24"/>
                <w:lang w:val="bg-BG"/>
              </w:rPr>
              <w:t xml:space="preserve">които претърпяват </w:t>
            </w:r>
            <w:r w:rsidR="009561B0" w:rsidRPr="00975F6F">
              <w:rPr>
                <w:lang w:val="ru-RU"/>
              </w:rPr>
              <w:t xml:space="preserve"> </w:t>
            </w:r>
            <w:r w:rsidR="009561B0" w:rsidRPr="009561B0">
              <w:rPr>
                <w:rFonts w:eastAsia="Arial" w:cs="Times New Roman"/>
                <w:color w:val="000000"/>
                <w:szCs w:val="24"/>
                <w:lang w:val="bg-BG"/>
              </w:rPr>
              <w:t xml:space="preserve">ИКТ инциденти </w:t>
            </w:r>
            <w:r w:rsidR="00A21C93">
              <w:rPr>
                <w:rFonts w:eastAsia="Arial" w:cs="Times New Roman"/>
                <w:color w:val="000000"/>
                <w:szCs w:val="24"/>
                <w:lang w:val="bg-BG"/>
              </w:rPr>
              <w:t xml:space="preserve"> </w:t>
            </w:r>
            <w:r w:rsidRPr="00975F6F">
              <w:rPr>
                <w:rFonts w:eastAsia="Arial" w:cs="Times New Roman"/>
                <w:color w:val="000000"/>
                <w:szCs w:val="24"/>
                <w:lang w:val="ru-RU"/>
              </w:rPr>
              <w:t>(</w:t>
            </w:r>
            <w:r w:rsidR="009561B0">
              <w:rPr>
                <w:rFonts w:eastAsia="Arial" w:cs="Times New Roman"/>
                <w:color w:val="000000"/>
                <w:szCs w:val="24"/>
                <w:lang w:val="bg-BG"/>
              </w:rPr>
              <w:t>пробиви в сигурността</w:t>
            </w:r>
            <w:r w:rsidRPr="00975F6F">
              <w:rPr>
                <w:rFonts w:eastAsia="Arial" w:cs="Times New Roman"/>
                <w:color w:val="000000"/>
                <w:szCs w:val="24"/>
                <w:lang w:val="ru-RU"/>
              </w:rPr>
              <w:t>) (2021)</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11.0%</w:t>
            </w:r>
          </w:p>
        </w:tc>
        <w:tc>
          <w:tcPr>
            <w:tcW w:w="0" w:type="auto"/>
            <w:hideMark/>
          </w:tcPr>
          <w:p w:rsidR="00C74927" w:rsidRPr="00EC23C7" w:rsidRDefault="00C74927" w:rsidP="00EC23C7">
            <w:pPr>
              <w:widowControl w:val="0"/>
              <w:jc w:val="right"/>
              <w:rPr>
                <w:rFonts w:eastAsia="Arial" w:cs="Times New Roman"/>
                <w:color w:val="000000"/>
                <w:szCs w:val="24"/>
                <w:lang w:val="en-GB"/>
              </w:rPr>
            </w:pPr>
            <w:r w:rsidRPr="00EC23C7">
              <w:rPr>
                <w:rFonts w:eastAsia="Arial" w:cs="Times New Roman"/>
                <w:color w:val="000000"/>
                <w:szCs w:val="24"/>
                <w:lang w:val="en-GB"/>
              </w:rPr>
              <w:t>20.9%</w:t>
            </w:r>
          </w:p>
        </w:tc>
      </w:tr>
    </w:tbl>
    <w:p w:rsidR="00EC23C7" w:rsidRDefault="00EC23C7" w:rsidP="00C74927">
      <w:pPr>
        <w:keepLines/>
        <w:spacing w:before="120" w:after="360" w:line="220" w:lineRule="exact"/>
        <w:contextualSpacing/>
        <w:jc w:val="both"/>
        <w:rPr>
          <w:rFonts w:eastAsia="Arial" w:cs="Times New Roman"/>
          <w:color w:val="000000"/>
          <w:szCs w:val="24"/>
          <w:lang w:val="en-GB"/>
        </w:rPr>
      </w:pPr>
      <w:r w:rsidRPr="00EC23C7">
        <w:rPr>
          <w:rFonts w:eastAsia="Arial" w:cs="Times New Roman"/>
          <w:color w:val="000000"/>
          <w:szCs w:val="24"/>
          <w:lang w:val="en-GB"/>
        </w:rPr>
        <w:br w:type="textWrapping" w:clear="all"/>
      </w:r>
    </w:p>
    <w:p w:rsidR="00C74927" w:rsidRPr="00975F6F" w:rsidRDefault="00EC23C7" w:rsidP="00C74927">
      <w:pPr>
        <w:keepLines/>
        <w:spacing w:before="120" w:after="360" w:line="220" w:lineRule="exact"/>
        <w:contextualSpacing/>
        <w:jc w:val="both"/>
        <w:rPr>
          <w:rFonts w:eastAsia="Arial" w:cs="Times New Roman"/>
          <w:color w:val="000000"/>
          <w:szCs w:val="24"/>
          <w:lang w:val="es-ES"/>
        </w:rPr>
      </w:pPr>
      <w:r w:rsidRPr="00975F6F">
        <w:rPr>
          <w:rFonts w:eastAsia="Arial" w:cs="Times New Roman"/>
          <w:color w:val="000000"/>
          <w:szCs w:val="24"/>
          <w:lang w:val="es-ES"/>
        </w:rPr>
        <w:t xml:space="preserve"> </w:t>
      </w:r>
      <w:r w:rsidRPr="00EC23C7">
        <w:rPr>
          <w:rFonts w:eastAsia="Arial" w:cs="Times New Roman"/>
          <w:color w:val="000000"/>
          <w:szCs w:val="24"/>
        </w:rPr>
        <w:t xml:space="preserve">Източници: </w:t>
      </w:r>
      <w:r w:rsidR="00C74927" w:rsidRPr="00975F6F">
        <w:rPr>
          <w:rFonts w:eastAsia="Arial" w:cs="Times New Roman"/>
          <w:color w:val="000000"/>
          <w:szCs w:val="24"/>
          <w:lang w:val="es-ES"/>
        </w:rPr>
        <w:t xml:space="preserve"> </w:t>
      </w:r>
      <w:hyperlink r:id="rId13" w:history="1">
        <w:r w:rsidR="00C74927" w:rsidRPr="00975F6F">
          <w:rPr>
            <w:rFonts w:eastAsia="Arial" w:cs="Times New Roman"/>
            <w:color w:val="0000FF"/>
            <w:szCs w:val="24"/>
            <w:u w:val="single"/>
            <w:lang w:val="es-ES"/>
          </w:rPr>
          <w:t>OECD.Stat</w:t>
        </w:r>
      </w:hyperlink>
      <w:r w:rsidRPr="00975F6F">
        <w:rPr>
          <w:rFonts w:eastAsia="Arial" w:cs="Times New Roman"/>
          <w:color w:val="000000"/>
          <w:szCs w:val="24"/>
          <w:lang w:val="es-ES"/>
        </w:rPr>
        <w:t xml:space="preserve">  </w:t>
      </w:r>
      <w:r w:rsidRPr="00EC23C7">
        <w:rPr>
          <w:rFonts w:eastAsia="Arial" w:cs="Times New Roman"/>
          <w:color w:val="000000"/>
          <w:szCs w:val="24"/>
          <w:lang w:val="en-GB"/>
        </w:rPr>
        <w:t>и</w:t>
      </w:r>
      <w:r w:rsidRPr="00975F6F">
        <w:rPr>
          <w:rFonts w:eastAsia="Arial" w:cs="Times New Roman"/>
          <w:color w:val="000000"/>
          <w:szCs w:val="24"/>
          <w:lang w:val="es-ES"/>
        </w:rPr>
        <w:t xml:space="preserve"> </w:t>
      </w:r>
      <w:hyperlink r:id="rId14" w:history="1">
        <w:r w:rsidR="00C74927" w:rsidRPr="00975F6F">
          <w:rPr>
            <w:rFonts w:eastAsia="Arial" w:cs="Times New Roman"/>
            <w:color w:val="0000FF"/>
            <w:szCs w:val="24"/>
            <w:u w:val="single"/>
            <w:lang w:val="es-ES"/>
          </w:rPr>
          <w:t>Eurostat</w:t>
        </w:r>
      </w:hyperlink>
      <w:r w:rsidR="00C74927" w:rsidRPr="00975F6F">
        <w:rPr>
          <w:rFonts w:eastAsia="Arial" w:cs="Times New Roman"/>
          <w:color w:val="000000"/>
          <w:szCs w:val="24"/>
          <w:lang w:val="es-ES"/>
        </w:rPr>
        <w:t>.</w:t>
      </w:r>
    </w:p>
    <w:p w:rsidR="00F0642A" w:rsidRPr="00975F6F" w:rsidRDefault="00F0642A" w:rsidP="00C74927">
      <w:pPr>
        <w:keepLines/>
        <w:spacing w:before="120" w:after="360" w:line="220" w:lineRule="exact"/>
        <w:contextualSpacing/>
        <w:jc w:val="both"/>
        <w:rPr>
          <w:rFonts w:eastAsia="Arial" w:cs="Times New Roman"/>
          <w:color w:val="000000"/>
          <w:szCs w:val="24"/>
          <w:lang w:val="es-ES"/>
        </w:rPr>
      </w:pPr>
    </w:p>
    <w:p w:rsidR="00F0642A" w:rsidRPr="00975F6F" w:rsidRDefault="00F0642A" w:rsidP="00C74927">
      <w:pPr>
        <w:keepLines/>
        <w:spacing w:before="120" w:after="360" w:line="220" w:lineRule="exact"/>
        <w:contextualSpacing/>
        <w:jc w:val="both"/>
        <w:rPr>
          <w:rFonts w:eastAsia="Arial" w:cs="Times New Roman"/>
          <w:color w:val="000000"/>
          <w:szCs w:val="24"/>
          <w:lang w:val="es-ES"/>
        </w:rPr>
      </w:pPr>
    </w:p>
    <w:p w:rsidR="00F0642A" w:rsidRPr="00157805" w:rsidRDefault="00F0642A" w:rsidP="00F0642A">
      <w:pPr>
        <w:spacing w:before="120" w:after="0" w:line="276" w:lineRule="auto"/>
        <w:jc w:val="both"/>
        <w:rPr>
          <w:rFonts w:cs="Times New Roman"/>
          <w:szCs w:val="24"/>
          <w:highlight w:val="yellow"/>
        </w:rPr>
      </w:pPr>
    </w:p>
    <w:p w:rsidR="00F0642A" w:rsidRPr="00555E90" w:rsidRDefault="00F0642A" w:rsidP="00F0642A">
      <w:pPr>
        <w:shd w:val="clear" w:color="auto" w:fill="FFFFFF"/>
        <w:spacing w:after="100" w:afterAutospacing="1" w:line="240" w:lineRule="auto"/>
        <w:jc w:val="both"/>
        <w:outlineLvl w:val="0"/>
        <w:rPr>
          <w:rFonts w:eastAsia="Times New Roman" w:cs="Times New Roman"/>
          <w:b/>
          <w:color w:val="1E1E1F"/>
          <w:kern w:val="36"/>
          <w:szCs w:val="24"/>
          <w:u w:val="single"/>
        </w:rPr>
      </w:pPr>
      <w:r w:rsidRPr="00157805">
        <w:rPr>
          <w:rFonts w:eastAsia="Times New Roman" w:cs="Times New Roman"/>
          <w:b/>
          <w:color w:val="1E1E1F"/>
          <w:kern w:val="36"/>
          <w:szCs w:val="24"/>
          <w:u w:val="single"/>
        </w:rPr>
        <w:t xml:space="preserve">4. </w:t>
      </w:r>
      <w:r w:rsidRPr="00555E90">
        <w:rPr>
          <w:rFonts w:eastAsia="Times New Roman" w:cs="Times New Roman"/>
          <w:b/>
          <w:color w:val="1E1E1F"/>
          <w:kern w:val="36"/>
          <w:szCs w:val="24"/>
          <w:u w:val="single"/>
        </w:rPr>
        <w:t>Европейският цифров дневен ред</w:t>
      </w:r>
    </w:p>
    <w:p w:rsidR="00F0642A" w:rsidRPr="00975F6F" w:rsidRDefault="00F0642A" w:rsidP="00F0642A">
      <w:pPr>
        <w:shd w:val="clear" w:color="auto" w:fill="FFFFFF"/>
        <w:spacing w:after="100" w:afterAutospacing="1" w:line="288" w:lineRule="atLeast"/>
        <w:jc w:val="both"/>
        <w:outlineLvl w:val="1"/>
        <w:rPr>
          <w:rFonts w:eastAsia="Times New Roman" w:cs="Times New Roman"/>
          <w:b/>
          <w:color w:val="1E1E1F"/>
          <w:szCs w:val="24"/>
          <w:lang w:val="ru-RU"/>
        </w:rPr>
      </w:pPr>
      <w:r w:rsidRPr="00975F6F">
        <w:rPr>
          <w:rFonts w:eastAsia="Times New Roman" w:cs="Times New Roman"/>
          <w:b/>
          <w:color w:val="1E1E1F"/>
          <w:szCs w:val="24"/>
          <w:lang w:val="ru-RU"/>
        </w:rPr>
        <w:t>Цифрова програма за Европа</w:t>
      </w:r>
    </w:p>
    <w:p w:rsidR="00F0642A" w:rsidRPr="00975F6F" w:rsidRDefault="00F0642A" w:rsidP="00F0642A">
      <w:pPr>
        <w:shd w:val="clear" w:color="auto" w:fill="FFFFFF"/>
        <w:spacing w:after="100" w:afterAutospacing="1" w:line="288" w:lineRule="atLeast"/>
        <w:jc w:val="both"/>
        <w:outlineLvl w:val="1"/>
        <w:rPr>
          <w:rFonts w:eastAsia="Times New Roman" w:cs="Times New Roman"/>
          <w:color w:val="1E1E1F"/>
          <w:szCs w:val="24"/>
          <w:lang w:val="ru-RU"/>
        </w:rPr>
      </w:pPr>
      <w:r w:rsidRPr="00975F6F">
        <w:rPr>
          <w:rFonts w:eastAsia="Times New Roman" w:cs="Times New Roman"/>
          <w:color w:val="1E1E1F"/>
          <w:szCs w:val="24"/>
          <w:lang w:val="ru-RU"/>
        </w:rPr>
        <w:t>Широко разпространеното, бързо и екстензивно развитие на платформи за цифрови услуги, както и дебатите относно публичните пространства за данни , новите технологии и изкуствения интелект, засягат всички области на нашето общество. Много нови начини за комуникация, пазаруване и достъп до информация онлайн са интегрирани в нашето ежедневие и непрекъснато се развиват. Европейската програма в областта на цифровите технологии</w:t>
      </w:r>
      <w:r w:rsidRPr="00555E90">
        <w:rPr>
          <w:rFonts w:eastAsia="Times New Roman" w:cs="Times New Roman"/>
          <w:color w:val="1E1E1F"/>
          <w:szCs w:val="24"/>
        </w:rPr>
        <w:t>/Цифрова програма</w:t>
      </w:r>
      <w:r w:rsidRPr="00975F6F">
        <w:rPr>
          <w:rFonts w:eastAsia="Times New Roman" w:cs="Times New Roman"/>
          <w:color w:val="1E1E1F"/>
          <w:szCs w:val="24"/>
          <w:lang w:val="ru-RU"/>
        </w:rPr>
        <w:t xml:space="preserve"> за десетилетието 2020-2030 г. разглежда тези проблеми, като се съсредоточава върху създаването на сигурни цифрови пространства и услуги, създаването на равни условия на цифровите пазари с големи платформи и укрепването на цифровия суверенитет на Европа, като същевременно </w:t>
      </w:r>
      <w:r w:rsidRPr="00555E90">
        <w:rPr>
          <w:rFonts w:eastAsia="Times New Roman" w:cs="Times New Roman"/>
          <w:color w:val="1E1E1F"/>
          <w:szCs w:val="24"/>
        </w:rPr>
        <w:t xml:space="preserve">се </w:t>
      </w:r>
      <w:r w:rsidRPr="00975F6F">
        <w:rPr>
          <w:rFonts w:eastAsia="Times New Roman" w:cs="Times New Roman"/>
          <w:color w:val="1E1E1F"/>
          <w:szCs w:val="24"/>
          <w:lang w:val="ru-RU"/>
        </w:rPr>
        <w:t>допринася за европейската цел за климатична неутралност до 2050 г.</w:t>
      </w:r>
    </w:p>
    <w:p w:rsidR="00F0642A" w:rsidRPr="00975F6F" w:rsidRDefault="00F0642A" w:rsidP="00F0642A">
      <w:pPr>
        <w:shd w:val="clear" w:color="auto" w:fill="FFFFFF"/>
        <w:spacing w:after="100" w:afterAutospacing="1" w:line="288" w:lineRule="atLeast"/>
        <w:jc w:val="both"/>
        <w:outlineLvl w:val="1"/>
        <w:rPr>
          <w:rFonts w:eastAsia="Times New Roman" w:cs="Times New Roman"/>
          <w:b/>
          <w:color w:val="1E1E1F"/>
          <w:szCs w:val="24"/>
          <w:lang w:val="ru-RU"/>
        </w:rPr>
      </w:pPr>
      <w:r w:rsidRPr="00975F6F">
        <w:rPr>
          <w:rFonts w:eastAsia="Times New Roman" w:cs="Times New Roman"/>
          <w:b/>
          <w:color w:val="1E1E1F"/>
          <w:szCs w:val="24"/>
          <w:lang w:val="ru-RU"/>
        </w:rPr>
        <w:t>Правно основание</w:t>
      </w:r>
    </w:p>
    <w:p w:rsidR="00F0642A" w:rsidRPr="00975F6F" w:rsidRDefault="00F0642A" w:rsidP="00F0642A">
      <w:pPr>
        <w:shd w:val="clear" w:color="auto" w:fill="FFFFFF"/>
        <w:spacing w:after="100" w:afterAutospacing="1" w:line="288" w:lineRule="atLeast"/>
        <w:jc w:val="both"/>
        <w:outlineLvl w:val="1"/>
        <w:rPr>
          <w:rFonts w:eastAsia="Times New Roman" w:cs="Times New Roman"/>
          <w:color w:val="1E1E1F"/>
          <w:szCs w:val="24"/>
          <w:lang w:val="ru-RU"/>
        </w:rPr>
      </w:pPr>
      <w:r w:rsidRPr="00975F6F">
        <w:rPr>
          <w:rFonts w:eastAsia="Times New Roman" w:cs="Times New Roman"/>
          <w:color w:val="1E1E1F"/>
          <w:szCs w:val="24"/>
          <w:lang w:val="ru-RU"/>
        </w:rPr>
        <w:t>Въпреки че Договорите не съдържат специални разпоредби за информационно-комуникационните технологии (ИКТ), ЕС може да предприеме съответни действия в рамките на секторни</w:t>
      </w:r>
      <w:r w:rsidRPr="00555E90">
        <w:rPr>
          <w:rFonts w:eastAsia="Times New Roman" w:cs="Times New Roman"/>
          <w:color w:val="1E1E1F"/>
          <w:szCs w:val="24"/>
        </w:rPr>
        <w:t>те</w:t>
      </w:r>
      <w:r w:rsidRPr="00975F6F">
        <w:rPr>
          <w:rFonts w:eastAsia="Times New Roman" w:cs="Times New Roman"/>
          <w:color w:val="1E1E1F"/>
          <w:szCs w:val="24"/>
          <w:lang w:val="ru-RU"/>
        </w:rPr>
        <w:t xml:space="preserve"> и хоризонтални</w:t>
      </w:r>
      <w:r w:rsidRPr="00555E90">
        <w:rPr>
          <w:rFonts w:eastAsia="Times New Roman" w:cs="Times New Roman"/>
          <w:color w:val="1E1E1F"/>
          <w:szCs w:val="24"/>
        </w:rPr>
        <w:t>те</w:t>
      </w:r>
      <w:r w:rsidRPr="00975F6F">
        <w:rPr>
          <w:rFonts w:eastAsia="Times New Roman" w:cs="Times New Roman"/>
          <w:color w:val="1E1E1F"/>
          <w:szCs w:val="24"/>
          <w:lang w:val="ru-RU"/>
        </w:rPr>
        <w:t xml:space="preserve"> политики, като например: индустриална политика (член 173 от Договора за функционирането на Европейския съюз) (ДФЕС)); политика в областта на конкуренцията (членове 101, 109 от ДФЕС); търговска политика (членове 206, 207 от ДФЕС); трансевропейските мрежи (</w:t>
      </w:r>
      <w:r w:rsidRPr="00555E90">
        <w:rPr>
          <w:rFonts w:eastAsia="Times New Roman" w:cs="Times New Roman"/>
          <w:color w:val="1E1E1F"/>
          <w:szCs w:val="24"/>
          <w:lang w:val="en-US"/>
        </w:rPr>
        <w:t>TEN</w:t>
      </w:r>
      <w:r w:rsidRPr="00975F6F">
        <w:rPr>
          <w:rFonts w:eastAsia="Times New Roman" w:cs="Times New Roman"/>
          <w:color w:val="1E1E1F"/>
          <w:szCs w:val="24"/>
          <w:lang w:val="ru-RU"/>
        </w:rPr>
        <w:t>) (членове 170, 172 от ДФЕС); научни изследвания , технологично развитие и космос (членове 179 и 190 от ДФЕС); енергийна политика (член 194 от ДФЕС); сближаването на законите за подобряване на създаването и функционирането на вътрешния пазар (член 114 от ДФЕС); свободното движение на стоки (член 26 и членове 28-37 от ДФЕС); свободното движение на хора, услуги и капитали (членове 45 и 66 от ДФЕС); образование, професионално обучение, младеж и спорт (членове 165 и 166 от ДФЕС); и култура (член 167 от ДФЕС)</w:t>
      </w:r>
    </w:p>
    <w:p w:rsidR="00F0642A" w:rsidRPr="00975F6F" w:rsidRDefault="00F0642A" w:rsidP="00F0642A">
      <w:pPr>
        <w:shd w:val="clear" w:color="auto" w:fill="FFFFFF"/>
        <w:spacing w:after="100" w:afterAutospacing="1" w:line="288" w:lineRule="atLeast"/>
        <w:jc w:val="both"/>
        <w:outlineLvl w:val="1"/>
        <w:rPr>
          <w:rFonts w:eastAsia="Times New Roman" w:cs="Times New Roman"/>
          <w:b/>
          <w:color w:val="1E1E1F"/>
          <w:szCs w:val="24"/>
          <w:lang w:val="ru-RU"/>
        </w:rPr>
      </w:pPr>
      <w:r w:rsidRPr="00975F6F">
        <w:rPr>
          <w:rFonts w:eastAsia="Times New Roman" w:cs="Times New Roman"/>
          <w:b/>
          <w:color w:val="1E1E1F"/>
          <w:szCs w:val="24"/>
          <w:lang w:val="ru-RU"/>
        </w:rPr>
        <w:t>Цели</w:t>
      </w:r>
    </w:p>
    <w:p w:rsidR="00F0642A" w:rsidRPr="00975F6F" w:rsidRDefault="00F0642A" w:rsidP="00F0642A">
      <w:pPr>
        <w:shd w:val="clear" w:color="auto" w:fill="FFFFFF"/>
        <w:spacing w:after="100" w:afterAutospacing="1" w:line="288" w:lineRule="atLeast"/>
        <w:jc w:val="both"/>
        <w:outlineLvl w:val="1"/>
        <w:rPr>
          <w:rFonts w:eastAsia="Times New Roman" w:cs="Times New Roman"/>
          <w:color w:val="1E1E1F"/>
          <w:szCs w:val="24"/>
          <w:lang w:val="ru-RU"/>
        </w:rPr>
      </w:pPr>
      <w:r w:rsidRPr="00975F6F">
        <w:rPr>
          <w:rFonts w:eastAsia="Times New Roman" w:cs="Times New Roman"/>
          <w:color w:val="1E1E1F"/>
          <w:szCs w:val="24"/>
          <w:lang w:val="ru-RU"/>
        </w:rPr>
        <w:t>Следвайки Лисабонската стратегия, 10-годишната цифрова програма за Европа</w:t>
      </w:r>
      <w:r w:rsidRPr="00555E90">
        <w:rPr>
          <w:rFonts w:eastAsia="Times New Roman" w:cs="Times New Roman"/>
          <w:color w:val="1E1E1F"/>
          <w:szCs w:val="24"/>
        </w:rPr>
        <w:t xml:space="preserve">  </w:t>
      </w:r>
      <w:hyperlink r:id="rId15" w:history="1">
        <w:r w:rsidRPr="00555E90">
          <w:rPr>
            <w:rFonts w:eastAsia="Times New Roman" w:cs="Times New Roman"/>
            <w:color w:val="3C77BD"/>
            <w:szCs w:val="24"/>
            <w:u w:val="single"/>
            <w:lang w:val="en-US"/>
          </w:rPr>
          <w:t>digital</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agenda</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for</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Europe</w:t>
        </w:r>
      </w:hyperlink>
      <w:r w:rsidRPr="00975F6F">
        <w:rPr>
          <w:rFonts w:eastAsia="Times New Roman" w:cs="Times New Roman"/>
          <w:color w:val="1E1E1F"/>
          <w:szCs w:val="24"/>
          <w:lang w:val="ru-RU"/>
        </w:rPr>
        <w:t xml:space="preserve"> през 2010 г. идентифицира за първи път ключовата благоприятна </w:t>
      </w:r>
      <w:r w:rsidRPr="00555E90">
        <w:rPr>
          <w:rFonts w:eastAsia="Times New Roman" w:cs="Times New Roman"/>
          <w:color w:val="1E1E1F"/>
          <w:szCs w:val="24"/>
        </w:rPr>
        <w:t>/</w:t>
      </w:r>
      <w:r w:rsidRPr="00555E90">
        <w:rPr>
          <w:rFonts w:eastAsia="Times New Roman" w:cs="Times New Roman"/>
          <w:color w:val="1E1E1F"/>
          <w:szCs w:val="24"/>
          <w:lang w:val="en-US"/>
        </w:rPr>
        <w:t>enabling</w:t>
      </w:r>
      <w:r w:rsidRPr="00975F6F">
        <w:rPr>
          <w:rFonts w:eastAsia="Times New Roman" w:cs="Times New Roman"/>
          <w:color w:val="1E1E1F"/>
          <w:szCs w:val="24"/>
          <w:lang w:val="ru-RU"/>
        </w:rPr>
        <w:t xml:space="preserve"> роля на ИКТ за постигане на целите на Европа. През 2015 г. стратегията за цифров единен пазар </w:t>
      </w:r>
      <w:hyperlink r:id="rId16" w:history="1">
        <w:r w:rsidRPr="00555E90">
          <w:rPr>
            <w:rFonts w:eastAsia="Times New Roman" w:cs="Times New Roman"/>
            <w:color w:val="3C77BD"/>
            <w:szCs w:val="24"/>
            <w:u w:val="single"/>
            <w:lang w:val="en-US"/>
          </w:rPr>
          <w:t>digital</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single</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market</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strategy</w:t>
        </w:r>
      </w:hyperlink>
      <w:r w:rsidRPr="00555E90">
        <w:rPr>
          <w:rFonts w:eastAsia="Times New Roman" w:cs="Times New Roman"/>
          <w:color w:val="1E1E1F"/>
          <w:szCs w:val="24"/>
          <w:lang w:val="en-US"/>
        </w:rPr>
        <w:t> </w:t>
      </w:r>
      <w:r w:rsidRPr="00975F6F">
        <w:rPr>
          <w:rFonts w:eastAsia="Times New Roman" w:cs="Times New Roman"/>
          <w:color w:val="1E1E1F"/>
          <w:szCs w:val="24"/>
          <w:lang w:val="ru-RU"/>
        </w:rPr>
        <w:t xml:space="preserve"> доразви цифровата програма, определяйки конкретни разпоредби, базирани на три стълба, които имат за цел да осигурят справедлива, отворена и сигурна цифрова среда: 1) осигуряване на по-добър достъп за потребителите и </w:t>
      </w:r>
      <w:r w:rsidRPr="00975F6F">
        <w:rPr>
          <w:rFonts w:eastAsia="Times New Roman" w:cs="Times New Roman"/>
          <w:color w:val="1E1E1F"/>
          <w:szCs w:val="24"/>
          <w:lang w:val="ru-RU"/>
        </w:rPr>
        <w:lastRenderedPageBreak/>
        <w:t>бизнеса до цифрови стоки и услуги в цяла Европа; 2) създаване на подходящи условия за процъфтяване на цифровите мрежи и услуги; и 3) максимизиране на потенциала за растеж на цифровата икономика.</w:t>
      </w:r>
    </w:p>
    <w:p w:rsidR="00F0642A" w:rsidRPr="00975F6F" w:rsidRDefault="00F0642A" w:rsidP="00F0642A">
      <w:pPr>
        <w:shd w:val="clear" w:color="auto" w:fill="FFFFFF"/>
        <w:spacing w:after="100" w:afterAutospacing="1" w:line="288" w:lineRule="atLeast"/>
        <w:jc w:val="both"/>
        <w:outlineLvl w:val="1"/>
        <w:rPr>
          <w:rFonts w:eastAsia="Times New Roman" w:cs="Times New Roman"/>
          <w:color w:val="1E1E1F"/>
          <w:szCs w:val="24"/>
          <w:lang w:val="ru-RU"/>
        </w:rPr>
      </w:pPr>
      <w:r w:rsidRPr="00975F6F">
        <w:rPr>
          <w:rFonts w:eastAsia="Times New Roman" w:cs="Times New Roman"/>
          <w:color w:val="1E1E1F"/>
          <w:szCs w:val="24"/>
          <w:lang w:val="ru-RU"/>
        </w:rPr>
        <w:t>През 2020 г. втората петгодишна цифрова стратегия – формиране на цифровото бъдеще на Европа-</w:t>
      </w:r>
      <w:r w:rsidRPr="00555E90">
        <w:rPr>
          <w:rFonts w:eastAsia="Times New Roman" w:cs="Times New Roman"/>
          <w:color w:val="1E1E1F"/>
          <w:szCs w:val="24"/>
          <w:lang w:val="en-US"/>
        </w:rPr>
        <w:t> </w:t>
      </w:r>
      <w:hyperlink r:id="rId17" w:history="1">
        <w:r w:rsidRPr="00555E90">
          <w:rPr>
            <w:rFonts w:eastAsia="Times New Roman" w:cs="Times New Roman"/>
            <w:color w:val="3C77BD"/>
            <w:szCs w:val="24"/>
            <w:u w:val="single"/>
            <w:lang w:val="en-US"/>
          </w:rPr>
          <w:t>shaping</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Europe</w:t>
        </w:r>
        <w:r w:rsidRPr="00975F6F">
          <w:rPr>
            <w:rFonts w:eastAsia="Times New Roman" w:cs="Times New Roman"/>
            <w:color w:val="3C77BD"/>
            <w:szCs w:val="24"/>
            <w:u w:val="single"/>
            <w:lang w:val="ru-RU"/>
          </w:rPr>
          <w:t>’</w:t>
        </w:r>
        <w:r w:rsidRPr="00555E90">
          <w:rPr>
            <w:rFonts w:eastAsia="Times New Roman" w:cs="Times New Roman"/>
            <w:color w:val="3C77BD"/>
            <w:szCs w:val="24"/>
            <w:u w:val="single"/>
            <w:lang w:val="en-US"/>
          </w:rPr>
          <w:t>s</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digital</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future</w:t>
        </w:r>
      </w:hyperlink>
      <w:r w:rsidRPr="00975F6F">
        <w:rPr>
          <w:rFonts w:eastAsia="Times New Roman" w:cs="Times New Roman"/>
          <w:color w:val="1E1E1F"/>
          <w:szCs w:val="24"/>
          <w:lang w:val="ru-RU"/>
        </w:rPr>
        <w:t xml:space="preserve"> – се съсредоточи върху три ключови цели в областта на цифровите технологии: технология, която работи за хората, справедлива и конкурентна икономика и отворено, демократично и устойчиво общество. През 2021 г. стратегията беше допълнена от 10-годишния цифров компас: европейският път за цифровото десетилетие, </w:t>
      </w:r>
      <w:hyperlink r:id="rId18" w:history="1">
        <w:r w:rsidRPr="00555E90">
          <w:rPr>
            <w:rFonts w:eastAsia="Times New Roman" w:cs="Times New Roman"/>
            <w:color w:val="3C77BD"/>
            <w:szCs w:val="24"/>
            <w:u w:val="single"/>
            <w:lang w:val="en-US"/>
          </w:rPr>
          <w:t>digital</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compass</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the</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European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way</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for</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the</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digital</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decade</w:t>
        </w:r>
      </w:hyperlink>
      <w:r w:rsidRPr="00555E90">
        <w:rPr>
          <w:rFonts w:eastAsia="Times New Roman" w:cs="Times New Roman"/>
          <w:color w:val="1E1E1F"/>
          <w:szCs w:val="24"/>
        </w:rPr>
        <w:t xml:space="preserve"> </w:t>
      </w:r>
      <w:r w:rsidRPr="00975F6F">
        <w:rPr>
          <w:rFonts w:eastAsia="Times New Roman" w:cs="Times New Roman"/>
          <w:color w:val="1E1E1F"/>
          <w:szCs w:val="24"/>
          <w:lang w:val="ru-RU"/>
        </w:rPr>
        <w:t>който поставя цифровите амбиции на ЕС за 2030 г. в конкретни рамки.</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b/>
          <w:color w:val="1E1E1F"/>
          <w:szCs w:val="24"/>
          <w:lang w:val="ru-RU"/>
        </w:rPr>
      </w:pPr>
      <w:r w:rsidRPr="00555E90">
        <w:rPr>
          <w:rFonts w:eastAsia="Times New Roman" w:cs="Times New Roman"/>
          <w:b/>
          <w:color w:val="1E1E1F"/>
          <w:szCs w:val="24"/>
        </w:rPr>
        <w:t>П</w:t>
      </w:r>
      <w:r w:rsidRPr="00975F6F">
        <w:rPr>
          <w:rFonts w:eastAsia="Times New Roman" w:cs="Times New Roman"/>
          <w:b/>
          <w:color w:val="1E1E1F"/>
          <w:szCs w:val="24"/>
          <w:lang w:val="ru-RU"/>
        </w:rPr>
        <w:t>остижения</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b/>
          <w:color w:val="1E1E1F"/>
          <w:szCs w:val="24"/>
          <w:u w:val="single"/>
          <w:lang w:val="ru-RU"/>
        </w:rPr>
      </w:pPr>
      <w:r w:rsidRPr="00555E90">
        <w:rPr>
          <w:rFonts w:eastAsia="Times New Roman" w:cs="Times New Roman"/>
          <w:b/>
          <w:color w:val="1E1E1F"/>
          <w:szCs w:val="24"/>
          <w:u w:val="single"/>
          <w:lang w:val="en-US"/>
        </w:rPr>
        <w:t>A</w:t>
      </w:r>
      <w:r w:rsidRPr="00975F6F">
        <w:rPr>
          <w:rFonts w:eastAsia="Times New Roman" w:cs="Times New Roman"/>
          <w:b/>
          <w:color w:val="1E1E1F"/>
          <w:szCs w:val="24"/>
          <w:u w:val="single"/>
          <w:lang w:val="ru-RU"/>
        </w:rPr>
        <w:t>. Първата цифрова програма за Европа: 2010-2020 г</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Първата цифрова програма се фокусира върху по-добрия достъп до цифрови стоки и услуги за потребителите и бизнеса в цяла Европа, като предостави на ЕС усъвършенствана система за потребителски права и защита на потребителите и бизнеса, включително:</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 По-ниски цени за електронни комуникации (Регламент (ЕС) 2022/612) (</w:t>
      </w:r>
      <w:hyperlink r:id="rId19" w:history="1">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2022/612</w:t>
        </w:r>
      </w:hyperlink>
      <w:r w:rsidRPr="00975F6F">
        <w:rPr>
          <w:rFonts w:eastAsia="Times New Roman" w:cs="Times New Roman"/>
          <w:color w:val="1E1E1F"/>
          <w:szCs w:val="24"/>
          <w:lang w:val="ru-RU"/>
        </w:rPr>
        <w:t>)  и край на таксите за роуминг на 14 юни 2017 г. („Роуминг като у дома“);</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 По-добра интернет свързаност за всички с цялостно основно широколентово покритие, главно благодарение на развитието на мобилния и сателитния широколентов достъп за развитие на гигабитова свързаност за всички основни социално-икономически двигатели;</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 По-добра защита на потребителите в телекомуникациите със законодателство относно неприкосновеността на личния живот (Директива 2009/136/ЕО) (</w:t>
      </w:r>
      <w:hyperlink r:id="rId20" w:history="1">
        <w:r w:rsidRPr="00555E90">
          <w:rPr>
            <w:rFonts w:eastAsia="Times New Roman" w:cs="Times New Roman"/>
            <w:color w:val="3C77BD"/>
            <w:szCs w:val="24"/>
            <w:u w:val="single"/>
            <w:lang w:val="en-US"/>
          </w:rPr>
          <w:t>Directive</w:t>
        </w:r>
        <w:r w:rsidRPr="00975F6F">
          <w:rPr>
            <w:rFonts w:eastAsia="Times New Roman" w:cs="Times New Roman"/>
            <w:color w:val="3C77BD"/>
            <w:szCs w:val="24"/>
            <w:u w:val="single"/>
            <w:lang w:val="ru-RU"/>
          </w:rPr>
          <w:t xml:space="preserve"> 2009/136/</w:t>
        </w:r>
        <w:r w:rsidRPr="00555E90">
          <w:rPr>
            <w:rFonts w:eastAsia="Times New Roman" w:cs="Times New Roman"/>
            <w:color w:val="3C77BD"/>
            <w:szCs w:val="24"/>
            <w:u w:val="single"/>
            <w:lang w:val="en-US"/>
          </w:rPr>
          <w:t>EC</w:t>
        </w:r>
      </w:hyperlink>
      <w:r w:rsidRPr="00975F6F">
        <w:rPr>
          <w:rFonts w:eastAsia="Times New Roman" w:cs="Times New Roman"/>
          <w:color w:val="1E1E1F"/>
          <w:szCs w:val="24"/>
          <w:lang w:val="ru-RU"/>
        </w:rPr>
        <w:t>)  и защита на данните (Директива 95/46/ЕО), (</w:t>
      </w:r>
      <w:hyperlink r:id="rId21" w:history="1">
        <w:r w:rsidRPr="00555E90">
          <w:rPr>
            <w:rFonts w:eastAsia="Times New Roman" w:cs="Times New Roman"/>
            <w:color w:val="3C77BD"/>
            <w:szCs w:val="24"/>
            <w:u w:val="single"/>
            <w:lang w:val="en-US"/>
          </w:rPr>
          <w:t>Directive </w:t>
        </w:r>
        <w:r w:rsidRPr="00975F6F">
          <w:rPr>
            <w:rFonts w:eastAsia="Times New Roman" w:cs="Times New Roman"/>
            <w:color w:val="3C77BD"/>
            <w:szCs w:val="24"/>
            <w:u w:val="single"/>
            <w:lang w:val="ru-RU"/>
          </w:rPr>
          <w:t>95/46/</w:t>
        </w:r>
        <w:r w:rsidRPr="00555E90">
          <w:rPr>
            <w:rFonts w:eastAsia="Times New Roman" w:cs="Times New Roman"/>
            <w:color w:val="3C77BD"/>
            <w:szCs w:val="24"/>
            <w:u w:val="single"/>
            <w:lang w:val="en-US"/>
          </w:rPr>
          <w:t>EC</w:t>
        </w:r>
      </w:hyperlink>
      <w:r w:rsidRPr="00975F6F">
        <w:rPr>
          <w:rFonts w:eastAsia="Times New Roman" w:cs="Times New Roman"/>
          <w:color w:val="1E1E1F"/>
          <w:szCs w:val="24"/>
          <w:lang w:val="ru-RU"/>
        </w:rPr>
        <w:t>),  допълнително подобрено от новата регулаторна рамка за защита на данните (Регламент (ЕС) 2016/679 и Директива (ЕС) 2016/680). (</w:t>
      </w:r>
      <w:hyperlink r:id="rId22" w:history="1">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2016/679</w:t>
        </w:r>
      </w:hyperlink>
      <w:r w:rsidRPr="00555E90">
        <w:rPr>
          <w:rFonts w:eastAsia="Times New Roman" w:cs="Times New Roman"/>
          <w:color w:val="1E1E1F"/>
          <w:szCs w:val="24"/>
          <w:lang w:val="en-US"/>
        </w:rPr>
        <w:t> </w:t>
      </w:r>
      <w:r w:rsidRPr="00975F6F">
        <w:rPr>
          <w:rFonts w:eastAsia="Times New Roman" w:cs="Times New Roman"/>
          <w:color w:val="1E1E1F"/>
          <w:szCs w:val="24"/>
          <w:lang w:val="ru-RU"/>
        </w:rPr>
        <w:t>и</w:t>
      </w:r>
      <w:r w:rsidRPr="00555E90">
        <w:rPr>
          <w:rFonts w:eastAsia="Times New Roman" w:cs="Times New Roman"/>
          <w:color w:val="1E1E1F"/>
          <w:szCs w:val="24"/>
          <w:lang w:val="en-US"/>
        </w:rPr>
        <w:t> </w:t>
      </w:r>
      <w:hyperlink r:id="rId23" w:history="1">
        <w:r w:rsidRPr="00555E90">
          <w:rPr>
            <w:rFonts w:eastAsia="Times New Roman" w:cs="Times New Roman"/>
            <w:color w:val="3C77BD"/>
            <w:szCs w:val="24"/>
            <w:u w:val="single"/>
            <w:lang w:val="en-US"/>
          </w:rPr>
          <w:t>Directive</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2016/680</w:t>
        </w:r>
      </w:hyperlink>
      <w:r w:rsidRPr="00975F6F">
        <w:rPr>
          <w:rFonts w:eastAsia="Times New Roman" w:cs="Times New Roman"/>
          <w:color w:val="1E1E1F"/>
          <w:szCs w:val="24"/>
          <w:lang w:val="ru-RU"/>
        </w:rPr>
        <w:t>).</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За да създаде условията, необходими за процъфтяването на цифровите мрежи и услуги, Европейският парламент укрепи Органа на европейските регулатори за електронни комуникации, който осигурява сътрудничество между националните регулатори и Комисията, насърчава най-добрите практики и общи подходи и хармонизира регулирането на комуникациите в единния пазар (Регламент (ЕС) 2018/1971). (</w:t>
      </w:r>
      <w:hyperlink r:id="rId24" w:history="1">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w:t>
        </w:r>
        <w:r w:rsidRPr="00555E90">
          <w:rPr>
            <w:rFonts w:eastAsia="Times New Roman" w:cs="Times New Roman"/>
            <w:color w:val="3C77BD"/>
            <w:szCs w:val="24"/>
            <w:u w:val="single"/>
            <w:lang w:val="en-US"/>
          </w:rPr>
          <w:t> </w:t>
        </w:r>
        <w:r w:rsidRPr="00975F6F">
          <w:rPr>
            <w:rFonts w:eastAsia="Times New Roman" w:cs="Times New Roman"/>
            <w:color w:val="3C77BD"/>
            <w:szCs w:val="24"/>
            <w:u w:val="single"/>
            <w:lang w:val="ru-RU"/>
          </w:rPr>
          <w:t>2018/1971</w:t>
        </w:r>
      </w:hyperlink>
      <w:r w:rsidRPr="00975F6F">
        <w:rPr>
          <w:rFonts w:eastAsia="Times New Roman" w:cs="Times New Roman"/>
          <w:color w:val="1E1E1F"/>
          <w:szCs w:val="24"/>
          <w:lang w:val="ru-RU"/>
        </w:rPr>
        <w:t>).</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Стратегията имаше за цел да увеличи максимално потенциала за растеж на цифровата икономика чрез насърчаване на цифрови умения и високопроизводителни изчисления, цифровизиране на индустрията и услугите, разработване на изкуствен интелект (</w:t>
      </w:r>
      <w:r w:rsidRPr="00555E90">
        <w:rPr>
          <w:rFonts w:eastAsia="Times New Roman" w:cs="Times New Roman"/>
          <w:color w:val="1E1E1F"/>
          <w:szCs w:val="24"/>
          <w:lang w:val="en-US"/>
        </w:rPr>
        <w:t>AI</w:t>
      </w:r>
      <w:r w:rsidRPr="00975F6F">
        <w:rPr>
          <w:rFonts w:eastAsia="Times New Roman" w:cs="Times New Roman"/>
          <w:color w:val="1E1E1F"/>
          <w:szCs w:val="24"/>
          <w:lang w:val="ru-RU"/>
        </w:rPr>
        <w:t xml:space="preserve">) и модернизиране на обществените услуги. Бяха приети нови правила относно геоблокирането (Регламент (ЕС) 2018/302) </w:t>
      </w:r>
      <w:hyperlink r:id="rId25" w:history="1">
        <w:r w:rsidRPr="00975F6F">
          <w:rPr>
            <w:rFonts w:eastAsia="Times New Roman" w:cs="Times New Roman"/>
            <w:color w:val="3C77BD"/>
            <w:szCs w:val="24"/>
            <w:u w:val="single"/>
            <w:lang w:val="ru-RU"/>
          </w:rPr>
          <w:t>(</w:t>
        </w:r>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2018/302</w:t>
        </w:r>
      </w:hyperlink>
      <w:r w:rsidRPr="00975F6F">
        <w:rPr>
          <w:rFonts w:eastAsia="Times New Roman" w:cs="Times New Roman"/>
          <w:color w:val="1E1E1F"/>
          <w:szCs w:val="24"/>
          <w:lang w:val="ru-RU"/>
        </w:rPr>
        <w:t>) и преносимостта на цифровите услуги (Регламент (ЕС) 2017/1128), (</w:t>
      </w:r>
      <w:hyperlink r:id="rId26" w:history="1">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2017/1128</w:t>
        </w:r>
      </w:hyperlink>
      <w:r w:rsidRPr="00975F6F">
        <w:rPr>
          <w:rFonts w:eastAsia="Times New Roman" w:cs="Times New Roman"/>
          <w:color w:val="1E1E1F"/>
          <w:szCs w:val="24"/>
          <w:lang w:val="ru-RU"/>
        </w:rPr>
        <w:t>)за да се позволи на потребителите също да имат достъп до услуги за онлайн съдържание, закупени в една държава членка, докато посещават друга.</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lastRenderedPageBreak/>
        <w:t>В допълнение към новите регулаторни рамки за защита на данните, споменати по-горе, ЕС предприе редица стъпки за улесняване на развитието на гъвкава за данни икономика, като например:</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 xml:space="preserve">• Регламентът относно свободното движение на нелични данни (Регламент (ЕС) 2018/1807), </w:t>
      </w:r>
      <w:hyperlink r:id="rId27" w:history="1">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2018/1807</w:t>
        </w:r>
      </w:hyperlink>
      <w:r w:rsidRPr="00975F6F">
        <w:rPr>
          <w:rFonts w:eastAsia="Times New Roman" w:cs="Times New Roman"/>
          <w:color w:val="1E1E1F"/>
          <w:szCs w:val="24"/>
          <w:lang w:val="ru-RU"/>
        </w:rPr>
        <w:t>), позволяващ на компаниите и публичните администрации да съхраняват и обработват нелични данни, където пожелаят;</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 Законът за киберсигурността (Регламент (ЕС) 2019/881), (</w:t>
      </w:r>
      <w:hyperlink r:id="rId28" w:history="1">
        <w:r w:rsidRPr="00555E90">
          <w:rPr>
            <w:rFonts w:eastAsia="Times New Roman" w:cs="Times New Roman"/>
            <w:color w:val="3C77BD"/>
            <w:szCs w:val="24"/>
            <w:u w:val="single"/>
            <w:lang w:val="en-US"/>
          </w:rPr>
          <w:t>Regulation</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2019/881</w:t>
        </w:r>
      </w:hyperlink>
      <w:r w:rsidRPr="00975F6F">
        <w:rPr>
          <w:rFonts w:eastAsia="Times New Roman" w:cs="Times New Roman"/>
          <w:color w:val="1E1E1F"/>
          <w:szCs w:val="24"/>
          <w:lang w:val="ru-RU"/>
        </w:rPr>
        <w:t xml:space="preserve"> укрепващ Агенцията на ЕС за киберсигурност (</w:t>
      </w:r>
      <w:r w:rsidRPr="00555E90">
        <w:rPr>
          <w:rFonts w:eastAsia="Times New Roman" w:cs="Times New Roman"/>
          <w:color w:val="1E1E1F"/>
          <w:szCs w:val="24"/>
          <w:lang w:val="en-US"/>
        </w:rPr>
        <w:t>ENISA</w:t>
      </w:r>
      <w:r w:rsidRPr="00975F6F">
        <w:rPr>
          <w:rFonts w:eastAsia="Times New Roman" w:cs="Times New Roman"/>
          <w:color w:val="1E1E1F"/>
          <w:szCs w:val="24"/>
          <w:lang w:val="ru-RU"/>
        </w:rPr>
        <w:t>) и установяващ рамка за сертифициране на киберсигурността за продукти и услуги;</w:t>
      </w:r>
    </w:p>
    <w:p w:rsidR="00F0642A" w:rsidRPr="00975F6F" w:rsidRDefault="00F0642A" w:rsidP="00F0642A">
      <w:pPr>
        <w:shd w:val="clear" w:color="auto" w:fill="FFFFFF"/>
        <w:spacing w:before="100" w:beforeAutospacing="1" w:after="100" w:afterAutospacing="1" w:line="240" w:lineRule="auto"/>
        <w:jc w:val="both"/>
        <w:rPr>
          <w:rFonts w:eastAsia="Times New Roman" w:cs="Times New Roman"/>
          <w:color w:val="1E1E1F"/>
          <w:szCs w:val="24"/>
          <w:lang w:val="ru-RU"/>
        </w:rPr>
      </w:pPr>
      <w:r w:rsidRPr="00975F6F">
        <w:rPr>
          <w:rFonts w:eastAsia="Times New Roman" w:cs="Times New Roman"/>
          <w:color w:val="1E1E1F"/>
          <w:szCs w:val="24"/>
          <w:lang w:val="ru-RU"/>
        </w:rPr>
        <w:t>• Директивата за отворени данни (Директива (ЕС) 2019/1024), (</w:t>
      </w:r>
      <w:hyperlink r:id="rId29" w:history="1">
        <w:r w:rsidRPr="00555E90">
          <w:rPr>
            <w:rFonts w:eastAsia="Times New Roman" w:cs="Times New Roman"/>
            <w:color w:val="3C77BD"/>
            <w:szCs w:val="24"/>
            <w:u w:val="single"/>
            <w:lang w:val="en-US"/>
          </w:rPr>
          <w:t>Directive</w:t>
        </w:r>
        <w:r w:rsidRPr="00975F6F">
          <w:rPr>
            <w:rFonts w:eastAsia="Times New Roman" w:cs="Times New Roman"/>
            <w:color w:val="3C77BD"/>
            <w:szCs w:val="24"/>
            <w:u w:val="single"/>
            <w:lang w:val="ru-RU"/>
          </w:rPr>
          <w:t xml:space="preserve"> (</w:t>
        </w:r>
        <w:r w:rsidRPr="00555E90">
          <w:rPr>
            <w:rFonts w:eastAsia="Times New Roman" w:cs="Times New Roman"/>
            <w:color w:val="3C77BD"/>
            <w:szCs w:val="24"/>
            <w:u w:val="single"/>
            <w:lang w:val="en-US"/>
          </w:rPr>
          <w:t>EU</w:t>
        </w:r>
        <w:r w:rsidRPr="00975F6F">
          <w:rPr>
            <w:rFonts w:eastAsia="Times New Roman" w:cs="Times New Roman"/>
            <w:color w:val="3C77BD"/>
            <w:szCs w:val="24"/>
            <w:u w:val="single"/>
            <w:lang w:val="ru-RU"/>
          </w:rPr>
          <w:t>) 2019/1024</w:t>
        </w:r>
      </w:hyperlink>
      <w:r w:rsidRPr="00975F6F">
        <w:rPr>
          <w:rFonts w:eastAsia="Times New Roman" w:cs="Times New Roman"/>
          <w:color w:val="1E1E1F"/>
          <w:szCs w:val="24"/>
          <w:lang w:val="ru-RU"/>
        </w:rPr>
        <w:t>), предоставяща общи правила за европейски пазар за държани от правителството данни.</w:t>
      </w:r>
    </w:p>
    <w:p w:rsidR="00F0642A" w:rsidRPr="00555E90" w:rsidRDefault="00F0642A" w:rsidP="00F0642A">
      <w:pPr>
        <w:spacing w:after="0" w:line="240" w:lineRule="auto"/>
        <w:ind w:right="855"/>
        <w:jc w:val="both"/>
        <w:rPr>
          <w:rFonts w:eastAsia="Calibri" w:cs="Times New Roman"/>
          <w:color w:val="000000"/>
          <w:szCs w:val="24"/>
        </w:rPr>
      </w:pPr>
    </w:p>
    <w:tbl>
      <w:tblPr>
        <w:tblStyle w:val="TableGrid2"/>
        <w:tblW w:w="0" w:type="auto"/>
        <w:tblLook w:val="04A0" w:firstRow="1" w:lastRow="0" w:firstColumn="1" w:lastColumn="0" w:noHBand="0" w:noVBand="1"/>
      </w:tblPr>
      <w:tblGrid>
        <w:gridCol w:w="9283"/>
      </w:tblGrid>
      <w:tr w:rsidR="00F0642A" w:rsidRPr="00555E90" w:rsidTr="00D27684">
        <w:tc>
          <w:tcPr>
            <w:tcW w:w="9396" w:type="dxa"/>
          </w:tcPr>
          <w:p w:rsidR="00F0642A" w:rsidRPr="006107DE" w:rsidRDefault="00F0642A" w:rsidP="00D27684">
            <w:pPr>
              <w:shd w:val="clear" w:color="auto" w:fill="FFFFFF"/>
              <w:spacing w:before="100" w:beforeAutospacing="1" w:after="100" w:afterAutospacing="1"/>
              <w:jc w:val="both"/>
              <w:rPr>
                <w:rFonts w:eastAsia="Times New Roman" w:cs="Times New Roman"/>
                <w:i/>
                <w:color w:val="1E1E1F"/>
                <w:szCs w:val="24"/>
                <w:lang w:val="ru-RU"/>
              </w:rPr>
            </w:pPr>
            <w:r w:rsidRPr="006107DE">
              <w:rPr>
                <w:rFonts w:eastAsia="Times New Roman" w:cs="Times New Roman"/>
                <w:b/>
                <w:i/>
                <w:color w:val="1E1E1F"/>
                <w:szCs w:val="24"/>
                <w:lang w:val="ru-RU"/>
              </w:rPr>
              <w:t>Национална програма Цифрова България</w:t>
            </w:r>
          </w:p>
          <w:p w:rsidR="00F0642A" w:rsidRPr="00555E90" w:rsidRDefault="00F0642A" w:rsidP="00D27684">
            <w:pPr>
              <w:ind w:right="855"/>
              <w:jc w:val="both"/>
              <w:rPr>
                <w:rFonts w:eastAsia="Calibri" w:cs="Times New Roman"/>
                <w:i/>
                <w:color w:val="000000"/>
                <w:szCs w:val="24"/>
              </w:rPr>
            </w:pPr>
            <w:r w:rsidRPr="00975F6F">
              <w:rPr>
                <w:rFonts w:eastAsia="Calibri" w:cs="Times New Roman"/>
                <w:i/>
                <w:color w:val="000000"/>
                <w:szCs w:val="24"/>
                <w:lang w:val="ru-RU"/>
              </w:rPr>
              <w:t>Националната програма „Цифрова България2025 отразява и проследява стратегическите програми и насоки на ЕС за постигане на интелигентен, устойчив и фокусиран върху обществото цифров растеж от 2011г. насам на база „Цифрова програма за Европа“ и „Стратегията за цифров единен пазар“, по пътя към цифровото десетилетие  2030.</w:t>
            </w:r>
            <w:r w:rsidRPr="00975F6F">
              <w:rPr>
                <w:rFonts w:eastAsia="Calibri" w:cs="Times New Roman"/>
                <w:i/>
                <w:color w:val="0563C1" w:themeColor="hyperlink"/>
                <w:szCs w:val="24"/>
                <w:u w:val="single"/>
                <w:lang w:val="ru-RU"/>
              </w:rPr>
              <w:t xml:space="preserve"> </w:t>
            </w:r>
            <w:hyperlink r:id="rId30" w:history="1">
              <w:r w:rsidRPr="00555E90">
                <w:rPr>
                  <w:rFonts w:eastAsia="Calibri" w:cs="Times New Roman"/>
                  <w:i/>
                  <w:color w:val="0563C1" w:themeColor="hyperlink"/>
                  <w:szCs w:val="24"/>
                  <w:u w:val="single"/>
                </w:rPr>
                <w:t>https://egov.government.bg/wps/portal/ministry-meu/strategies-policies/digital.transformation/itis-national-strategic-documents/np-digital-bulgaria-2025</w:t>
              </w:r>
            </w:hyperlink>
            <w:r w:rsidRPr="00555E90">
              <w:rPr>
                <w:rFonts w:eastAsia="Calibri" w:cs="Times New Roman"/>
                <w:i/>
                <w:color w:val="0563C1" w:themeColor="hyperlink"/>
                <w:szCs w:val="24"/>
                <w:u w:val="single"/>
              </w:rPr>
              <w:t xml:space="preserve">; </w:t>
            </w:r>
            <w:r w:rsidRPr="00555E90">
              <w:rPr>
                <w:rFonts w:eastAsia="Calibri" w:cs="Times New Roman"/>
                <w:i/>
                <w:color w:val="000000"/>
                <w:szCs w:val="24"/>
              </w:rPr>
              <w:t xml:space="preserve"> ;  </w:t>
            </w:r>
            <w:hyperlink r:id="rId31" w:history="1">
              <w:r w:rsidRPr="00157805">
                <w:rPr>
                  <w:rFonts w:eastAsia="Calibri" w:cs="Times New Roman"/>
                  <w:i/>
                  <w:color w:val="0563C1" w:themeColor="hyperlink"/>
                  <w:szCs w:val="24"/>
                  <w:u w:val="single"/>
                </w:rPr>
                <w:t>https://www.mtc.government.bg/bg/category/85</w:t>
              </w:r>
            </w:hyperlink>
            <w:r w:rsidRPr="00555E90">
              <w:rPr>
                <w:rFonts w:eastAsia="Calibri" w:cs="Times New Roman"/>
                <w:i/>
                <w:color w:val="000000"/>
                <w:szCs w:val="24"/>
              </w:rPr>
              <w:t xml:space="preserve">   </w:t>
            </w:r>
          </w:p>
          <w:p w:rsidR="00F0642A" w:rsidRPr="00555E90" w:rsidRDefault="00F0642A" w:rsidP="00D27684">
            <w:pPr>
              <w:ind w:right="855"/>
              <w:jc w:val="both"/>
              <w:rPr>
                <w:rFonts w:eastAsia="Calibri" w:cs="Times New Roman"/>
                <w:color w:val="000000"/>
                <w:szCs w:val="24"/>
              </w:rPr>
            </w:pPr>
          </w:p>
        </w:tc>
      </w:tr>
    </w:tbl>
    <w:p w:rsidR="00F0642A" w:rsidRPr="00555E90" w:rsidRDefault="00F0642A" w:rsidP="00F0642A">
      <w:pPr>
        <w:spacing w:after="0" w:line="240" w:lineRule="auto"/>
        <w:ind w:right="855"/>
        <w:jc w:val="both"/>
        <w:rPr>
          <w:rFonts w:eastAsia="Calibri" w:cs="Times New Roman"/>
          <w:color w:val="000000"/>
          <w:szCs w:val="24"/>
        </w:rPr>
      </w:pPr>
    </w:p>
    <w:p w:rsidR="00F0642A" w:rsidRPr="00555E90" w:rsidRDefault="00F0642A" w:rsidP="00F0642A">
      <w:pPr>
        <w:spacing w:after="0" w:line="240" w:lineRule="auto"/>
        <w:ind w:right="855"/>
        <w:jc w:val="both"/>
        <w:rPr>
          <w:rFonts w:eastAsia="Calibri" w:cs="Times New Roman"/>
          <w:color w:val="000000"/>
          <w:szCs w:val="24"/>
          <w:lang w:val="en-US"/>
        </w:rPr>
      </w:pPr>
    </w:p>
    <w:p w:rsidR="00F0642A" w:rsidRPr="00975F6F" w:rsidRDefault="00F0642A" w:rsidP="00F0642A">
      <w:pPr>
        <w:jc w:val="both"/>
        <w:rPr>
          <w:rFonts w:cs="Times New Roman"/>
          <w:b/>
          <w:szCs w:val="24"/>
          <w:u w:val="single"/>
          <w:lang w:val="ru-RU"/>
        </w:rPr>
      </w:pPr>
      <w:r w:rsidRPr="00975F6F">
        <w:rPr>
          <w:rFonts w:cs="Times New Roman"/>
          <w:b/>
          <w:szCs w:val="24"/>
          <w:u w:val="single"/>
          <w:lang w:val="ru-RU"/>
        </w:rPr>
        <w:t>Б. Втората цифрова програма за Европа: 2020-2030 г</w:t>
      </w:r>
    </w:p>
    <w:p w:rsidR="00F0642A" w:rsidRPr="00975F6F" w:rsidRDefault="00F0642A" w:rsidP="00F0642A">
      <w:pPr>
        <w:jc w:val="both"/>
        <w:rPr>
          <w:rFonts w:cs="Times New Roman"/>
          <w:szCs w:val="24"/>
          <w:lang w:val="ru-RU"/>
        </w:rPr>
      </w:pPr>
      <w:r w:rsidRPr="00975F6F">
        <w:rPr>
          <w:rFonts w:cs="Times New Roman"/>
          <w:szCs w:val="24"/>
          <w:lang w:val="ru-RU"/>
        </w:rPr>
        <w:t xml:space="preserve">Втората цифрова програма се съсредоточи върху дълбоките промени, въведени от цифровите технологии, съществената роля на цифровите услуги и пазари и новите технологични и геополитически амбиции на ЕС. </w:t>
      </w:r>
      <w:r w:rsidRPr="00555E90">
        <w:rPr>
          <w:rFonts w:cs="Times New Roman"/>
          <w:szCs w:val="24"/>
        </w:rPr>
        <w:t xml:space="preserve">Роберто Виола обяви политическата програма цифрово десетилетие 2030 като първата хоризонтална цифрова стратегия след цифрова програма за европа и стратегия за цифров единен пазар. </w:t>
      </w:r>
      <w:r w:rsidRPr="00975F6F">
        <w:rPr>
          <w:rFonts w:cs="Times New Roman"/>
          <w:szCs w:val="24"/>
          <w:lang w:val="ru-RU"/>
        </w:rPr>
        <w:t xml:space="preserve">Въз основа на две стратегически съобщения, а именно </w:t>
      </w:r>
      <w:r w:rsidRPr="00555E90">
        <w:rPr>
          <w:rFonts w:cs="Times New Roman"/>
          <w:szCs w:val="24"/>
        </w:rPr>
        <w:t>формиране</w:t>
      </w:r>
      <w:r w:rsidRPr="00975F6F">
        <w:rPr>
          <w:rFonts w:cs="Times New Roman"/>
          <w:szCs w:val="24"/>
          <w:lang w:val="ru-RU"/>
        </w:rPr>
        <w:t xml:space="preserve"> на цифровото бъдеще на Европа и цифровото десетилетие на Европа, Комисията определи конкретните действия, които ще предприеме, за да подпомогне създаването на безопасни и сигурни цифрови услуги и пазари. Освен това, развитието на квантов</w:t>
      </w:r>
      <w:r w:rsidRPr="00555E90">
        <w:rPr>
          <w:rFonts w:cs="Times New Roman"/>
          <w:szCs w:val="24"/>
        </w:rPr>
        <w:t>и</w:t>
      </w:r>
      <w:r w:rsidRPr="00975F6F">
        <w:rPr>
          <w:rFonts w:cs="Times New Roman"/>
          <w:szCs w:val="24"/>
          <w:lang w:val="ru-RU"/>
        </w:rPr>
        <w:t xml:space="preserve"> изчисления, блокчейн стратегия и търговска политика, базирана на блокчейн, ориентиран към човека и надежден </w:t>
      </w:r>
      <w:r w:rsidRPr="00555E90">
        <w:rPr>
          <w:rFonts w:cs="Times New Roman"/>
          <w:szCs w:val="24"/>
          <w:lang w:val="en-US"/>
        </w:rPr>
        <w:t>AI</w:t>
      </w:r>
      <w:r w:rsidRPr="00975F6F">
        <w:rPr>
          <w:rFonts w:cs="Times New Roman"/>
          <w:szCs w:val="24"/>
          <w:lang w:val="ru-RU"/>
        </w:rPr>
        <w:t>, полупроводници (Европейски закон за чипове), цифров суверенитет, киберсигурност, гигабитова свързаност, 5</w:t>
      </w:r>
      <w:r w:rsidRPr="00555E90">
        <w:rPr>
          <w:rFonts w:cs="Times New Roman"/>
          <w:szCs w:val="24"/>
          <w:lang w:val="en-US"/>
        </w:rPr>
        <w:t>G</w:t>
      </w:r>
      <w:r w:rsidRPr="00975F6F">
        <w:rPr>
          <w:rFonts w:cs="Times New Roman"/>
          <w:szCs w:val="24"/>
          <w:lang w:val="ru-RU"/>
        </w:rPr>
        <w:t xml:space="preserve"> и 6</w:t>
      </w:r>
      <w:r w:rsidRPr="00555E90">
        <w:rPr>
          <w:rFonts w:cs="Times New Roman"/>
          <w:szCs w:val="24"/>
          <w:lang w:val="en-US"/>
        </w:rPr>
        <w:t>G</w:t>
      </w:r>
      <w:r w:rsidRPr="00975F6F">
        <w:rPr>
          <w:rFonts w:cs="Times New Roman"/>
          <w:szCs w:val="24"/>
          <w:lang w:val="ru-RU"/>
        </w:rPr>
        <w:t>, европейски пространства за данни и инфраструктура , както и определянето на глобални технологични стандарти са приоритети за настоящото десетилетие. На 9 март 2021 г. ЕС предложи цифров компас (</w:t>
      </w:r>
      <w:r w:rsidRPr="00555E90">
        <w:rPr>
          <w:rFonts w:cs="Times New Roman"/>
          <w:szCs w:val="24"/>
          <w:lang w:val="en-US"/>
        </w:rPr>
        <w:t>COM</w:t>
      </w:r>
      <w:r w:rsidRPr="00975F6F">
        <w:rPr>
          <w:rFonts w:cs="Times New Roman"/>
          <w:szCs w:val="24"/>
          <w:lang w:val="ru-RU"/>
        </w:rPr>
        <w:t>(2021)0118) с четири цифрови цели, които трябва да бъдат постигнати до 2030 г.:</w:t>
      </w:r>
    </w:p>
    <w:p w:rsidR="00F0642A" w:rsidRPr="00975F6F" w:rsidRDefault="00F0642A" w:rsidP="00F0642A">
      <w:pPr>
        <w:jc w:val="both"/>
        <w:rPr>
          <w:rFonts w:cs="Times New Roman"/>
          <w:szCs w:val="24"/>
          <w:lang w:val="ru-RU"/>
        </w:rPr>
      </w:pPr>
      <w:r w:rsidRPr="00975F6F">
        <w:rPr>
          <w:rFonts w:cs="Times New Roman"/>
          <w:b/>
          <w:szCs w:val="24"/>
          <w:lang w:val="ru-RU"/>
        </w:rPr>
        <w:t>Умения:</w:t>
      </w:r>
      <w:r w:rsidRPr="00975F6F">
        <w:rPr>
          <w:rFonts w:cs="Times New Roman"/>
          <w:szCs w:val="24"/>
          <w:lang w:val="ru-RU"/>
        </w:rPr>
        <w:t xml:space="preserve"> най-малко 80</w:t>
      </w:r>
      <w:r w:rsidRPr="00555E90">
        <w:rPr>
          <w:rFonts w:cs="Times New Roman"/>
          <w:szCs w:val="24"/>
          <w:lang w:val="en-US"/>
        </w:rPr>
        <w:t> </w:t>
      </w:r>
      <w:r w:rsidRPr="00975F6F">
        <w:rPr>
          <w:rFonts w:cs="Times New Roman"/>
          <w:szCs w:val="24"/>
          <w:lang w:val="ru-RU"/>
        </w:rPr>
        <w:t>% от всички възрастни трябва да притежават основни цифрови умения и в ЕС трябва да има 20 милиона специалисти по ИКТ, като същевременно повече жени трябва да заемат такива работни места;</w:t>
      </w:r>
    </w:p>
    <w:p w:rsidR="00F0642A" w:rsidRPr="00975F6F" w:rsidRDefault="00F0642A" w:rsidP="00F0642A">
      <w:pPr>
        <w:jc w:val="both"/>
        <w:rPr>
          <w:rFonts w:cs="Times New Roman"/>
          <w:szCs w:val="24"/>
          <w:lang w:val="ru-RU"/>
        </w:rPr>
      </w:pPr>
      <w:r w:rsidRPr="00975F6F">
        <w:rPr>
          <w:rFonts w:cs="Times New Roman"/>
          <w:b/>
          <w:szCs w:val="24"/>
          <w:lang w:val="ru-RU"/>
        </w:rPr>
        <w:lastRenderedPageBreak/>
        <w:t>Бизнес</w:t>
      </w:r>
      <w:r w:rsidRPr="00975F6F">
        <w:rPr>
          <w:rFonts w:cs="Times New Roman"/>
          <w:szCs w:val="24"/>
          <w:lang w:val="ru-RU"/>
        </w:rPr>
        <w:t xml:space="preserve">: 75% от компаниите трябва да използват облачни услуги, големи данни и </w:t>
      </w:r>
      <w:r w:rsidRPr="00555E90">
        <w:rPr>
          <w:rFonts w:cs="Times New Roman"/>
          <w:szCs w:val="24"/>
          <w:lang w:val="en-US"/>
        </w:rPr>
        <w:t>AI</w:t>
      </w:r>
      <w:r w:rsidRPr="00975F6F">
        <w:rPr>
          <w:rFonts w:cs="Times New Roman"/>
          <w:szCs w:val="24"/>
          <w:lang w:val="ru-RU"/>
        </w:rPr>
        <w:t>; повече от 90</w:t>
      </w:r>
      <w:r w:rsidRPr="00555E90">
        <w:rPr>
          <w:rFonts w:cs="Times New Roman"/>
          <w:szCs w:val="24"/>
          <w:lang w:val="en-US"/>
        </w:rPr>
        <w:t> </w:t>
      </w:r>
      <w:r w:rsidRPr="00975F6F">
        <w:rPr>
          <w:rFonts w:cs="Times New Roman"/>
          <w:szCs w:val="24"/>
          <w:lang w:val="ru-RU"/>
        </w:rPr>
        <w:t>% от малките и средните предприятия в ЕС следва да достигнат поне основно ниво на цифрова интензивност; и броят на еднорозите в ЕС трябва да се удвои;</w:t>
      </w:r>
    </w:p>
    <w:p w:rsidR="00F0642A" w:rsidRPr="00975F6F" w:rsidRDefault="00F0642A" w:rsidP="00F0642A">
      <w:pPr>
        <w:jc w:val="both"/>
        <w:rPr>
          <w:rFonts w:cs="Times New Roman"/>
          <w:szCs w:val="24"/>
          <w:lang w:val="ru-RU"/>
        </w:rPr>
      </w:pPr>
      <w:r w:rsidRPr="00975F6F">
        <w:rPr>
          <w:rFonts w:cs="Times New Roman"/>
          <w:b/>
          <w:szCs w:val="24"/>
          <w:lang w:val="ru-RU"/>
        </w:rPr>
        <w:t>Инфраструктура</w:t>
      </w:r>
      <w:r w:rsidRPr="00975F6F">
        <w:rPr>
          <w:rFonts w:cs="Times New Roman"/>
          <w:szCs w:val="24"/>
          <w:lang w:val="ru-RU"/>
        </w:rPr>
        <w:t>: Всички домакинства в ЕС трябва да имат гигабитова свързаност и всички населени места трябва да бъдат покрити с 5</w:t>
      </w:r>
      <w:r w:rsidRPr="00555E90">
        <w:rPr>
          <w:rFonts w:cs="Times New Roman"/>
          <w:szCs w:val="24"/>
          <w:lang w:val="en-US"/>
        </w:rPr>
        <w:t>G</w:t>
      </w:r>
      <w:r w:rsidRPr="00975F6F">
        <w:rPr>
          <w:rFonts w:cs="Times New Roman"/>
          <w:szCs w:val="24"/>
          <w:lang w:val="ru-RU"/>
        </w:rPr>
        <w:t>; производството на авангардни и устойчиви полупроводници в Европа следва да съставлява 20</w:t>
      </w:r>
      <w:r w:rsidRPr="00555E90">
        <w:rPr>
          <w:rFonts w:cs="Times New Roman"/>
          <w:szCs w:val="24"/>
          <w:lang w:val="en-US"/>
        </w:rPr>
        <w:t> </w:t>
      </w:r>
      <w:r w:rsidRPr="00975F6F">
        <w:rPr>
          <w:rFonts w:cs="Times New Roman"/>
          <w:szCs w:val="24"/>
          <w:lang w:val="ru-RU"/>
        </w:rPr>
        <w:t>% от световното производство; 10 000 неутрални по отношение на климата периферни възли с висока степен на сигурност трябва да бъдат разположени в ЕС и Европа трябва да има своя първи квантов компютър;</w:t>
      </w:r>
    </w:p>
    <w:p w:rsidR="00F0642A" w:rsidRPr="00975F6F" w:rsidRDefault="00F0642A" w:rsidP="00F0642A">
      <w:pPr>
        <w:jc w:val="both"/>
        <w:rPr>
          <w:rFonts w:cs="Times New Roman"/>
          <w:szCs w:val="24"/>
          <w:lang w:val="ru-RU"/>
        </w:rPr>
      </w:pPr>
      <w:r w:rsidRPr="00975F6F">
        <w:rPr>
          <w:rFonts w:cs="Times New Roman"/>
          <w:b/>
          <w:szCs w:val="24"/>
          <w:lang w:val="ru-RU"/>
        </w:rPr>
        <w:t>Обществени услуги</w:t>
      </w:r>
      <w:r w:rsidRPr="00975F6F">
        <w:rPr>
          <w:rFonts w:cs="Times New Roman"/>
          <w:szCs w:val="24"/>
          <w:lang w:val="ru-RU"/>
        </w:rPr>
        <w:t>: Всички ключови обществени услуги трябва да бъдат достъпни онлайн; всички граждани да имат достъп до своите електронни медицински досиета, а 80% от гражданите трябва да използват решение за електронна идентификация.</w:t>
      </w:r>
    </w:p>
    <w:p w:rsidR="00F0642A" w:rsidRPr="00975F6F" w:rsidRDefault="00F0642A" w:rsidP="00F0642A">
      <w:pPr>
        <w:jc w:val="both"/>
        <w:rPr>
          <w:rFonts w:cs="Times New Roman"/>
          <w:szCs w:val="24"/>
          <w:lang w:val="ru-RU"/>
        </w:rPr>
      </w:pPr>
      <w:r w:rsidRPr="00975F6F">
        <w:rPr>
          <w:rFonts w:cs="Times New Roman"/>
          <w:szCs w:val="24"/>
          <w:lang w:val="ru-RU"/>
        </w:rPr>
        <w:t xml:space="preserve">Програмата „Цифрова Европа“, създадена с Регламент (ЕС) 2021/694, е нова програма на ЕС за финансиране на цифрови технологии с планиран общ бюджет от 7,5 милиарда евро за периода 2021-2027 г., която ще осигури стратегическо финансиране за подкрепа на проекти в пет области : суперкомпютри, </w:t>
      </w:r>
      <w:r w:rsidRPr="00555E90">
        <w:rPr>
          <w:rFonts w:cs="Times New Roman"/>
          <w:szCs w:val="24"/>
          <w:lang w:val="en-US"/>
        </w:rPr>
        <w:t>AI</w:t>
      </w:r>
      <w:r w:rsidRPr="00975F6F">
        <w:rPr>
          <w:rFonts w:cs="Times New Roman"/>
          <w:szCs w:val="24"/>
          <w:lang w:val="ru-RU"/>
        </w:rPr>
        <w:t xml:space="preserve">, киберсигурност, усъвършенствани цифрови умения и осигуряване на широко използване на цифрови технологии в икономиката и обществото, включително чрез центрове за цифрови иновации. Фондът ще бъде допълнен от други програми на ЕС, като Хоризонт Европа, Механизма за свързване на Европа за цифрова инфраструктура, Механизма за възстановяване и устойчивост и Механизма за структурните фондове. В контекста на икономическото възстановяване от пандемията от </w:t>
      </w:r>
      <w:r w:rsidRPr="00555E90">
        <w:rPr>
          <w:rFonts w:cs="Times New Roman"/>
          <w:szCs w:val="24"/>
          <w:lang w:val="en-US"/>
        </w:rPr>
        <w:t>COVID</w:t>
      </w:r>
      <w:r w:rsidRPr="00975F6F">
        <w:rPr>
          <w:rFonts w:cs="Times New Roman"/>
          <w:szCs w:val="24"/>
          <w:lang w:val="ru-RU"/>
        </w:rPr>
        <w:t>-19 държавите членки трябва да разпределят най-малко 20% от своите средства за възстановяване за проекти, които цифровизират техните икономики и общества (Регламент ЕС 2021/694).</w:t>
      </w:r>
    </w:p>
    <w:p w:rsidR="00F0642A" w:rsidRPr="00975F6F" w:rsidRDefault="00F0642A" w:rsidP="00F0642A">
      <w:pPr>
        <w:jc w:val="both"/>
        <w:rPr>
          <w:rFonts w:cs="Times New Roman"/>
          <w:szCs w:val="24"/>
          <w:lang w:val="ru-RU"/>
        </w:rPr>
      </w:pPr>
      <w:r w:rsidRPr="00975F6F">
        <w:rPr>
          <w:rFonts w:cs="Times New Roman"/>
          <w:szCs w:val="24"/>
          <w:lang w:val="ru-RU"/>
        </w:rPr>
        <w:t>Както е посочено в Бялата книга за изкуствения интелект, публикувана през февруари 2020 г., смята се, че ИИ играе ключова роля и се очаква да донесе множество социални и икономически ползи за широк кръг от сектори. През октомври 2020 г. Европейският парламент прие три резолюции относно ИИ, обхващащи етиката, гражданската отговорност и интелектуалната собственост, като поиска от Комисията да създаде всеобхватна и ориентирана към бъдещето европейска правна рамка от етични принципи за разработването, внедряването и използването на ИИ, роботиката и свързани технологии. На 21 април 2021 г. Европейската комисия публикува предложението си за нов Закон за изкуствения интелект (</w:t>
      </w:r>
      <w:r w:rsidRPr="00555E90">
        <w:rPr>
          <w:rFonts w:cs="Times New Roman"/>
          <w:szCs w:val="24"/>
          <w:lang w:val="en-US"/>
        </w:rPr>
        <w:t>COM</w:t>
      </w:r>
      <w:r w:rsidRPr="00975F6F">
        <w:rPr>
          <w:rFonts w:cs="Times New Roman"/>
          <w:szCs w:val="24"/>
          <w:lang w:val="ru-RU"/>
        </w:rPr>
        <w:t>(2021)0206), който закрепва в законодателството на ЕС технологично неутрална дефиниция на системите с изкуствен интелект и приема различен набор от правила, съобразени с основано на риска Приближаване. Проектодокладът относно предложението, изготвен съвместно от комисията по вътрешния пазар и защита на потребителите (</w:t>
      </w:r>
      <w:r w:rsidRPr="00555E90">
        <w:rPr>
          <w:rFonts w:cs="Times New Roman"/>
          <w:szCs w:val="24"/>
          <w:lang w:val="en-US"/>
        </w:rPr>
        <w:t>IMCO</w:t>
      </w:r>
      <w:r w:rsidRPr="00975F6F">
        <w:rPr>
          <w:rFonts w:cs="Times New Roman"/>
          <w:szCs w:val="24"/>
          <w:lang w:val="ru-RU"/>
        </w:rPr>
        <w:t>) и комисията по граждански свободи, правосъдие и вътрешни работи (</w:t>
      </w:r>
      <w:r w:rsidRPr="00555E90">
        <w:rPr>
          <w:rFonts w:cs="Times New Roman"/>
          <w:szCs w:val="24"/>
          <w:lang w:val="en-US"/>
        </w:rPr>
        <w:t>LIBE</w:t>
      </w:r>
      <w:r w:rsidRPr="00975F6F">
        <w:rPr>
          <w:rFonts w:cs="Times New Roman"/>
          <w:szCs w:val="24"/>
          <w:lang w:val="ru-RU"/>
        </w:rPr>
        <w:t xml:space="preserve">), беше публикуван на 20 април 2022 г. Освен това през септември 2022 г. Комисията публикува предложение за директива за адаптиране на правилата за извъндоговорна гражданска отговорност към изкуствения интелект („Директива за отговорността за ИИ“), за да се гарантира, че хората, увредени от системи от ИИ, се ползват със същото ниво на защита като тези, увредени от други технологии в ЕС . И накрая, за да защити допълнително потребителите, Комисията публикува предложение за нова директива за отговорността за продуктите, която, изменяйки директивата от 1985 г. по този </w:t>
      </w:r>
      <w:r w:rsidRPr="00975F6F">
        <w:rPr>
          <w:rFonts w:cs="Times New Roman"/>
          <w:szCs w:val="24"/>
          <w:lang w:val="ru-RU"/>
        </w:rPr>
        <w:lastRenderedPageBreak/>
        <w:t xml:space="preserve">въпрос, ще се отнася до нови цифрови продукти (като </w:t>
      </w:r>
      <w:r w:rsidRPr="00555E90">
        <w:rPr>
          <w:rFonts w:cs="Times New Roman"/>
          <w:szCs w:val="24"/>
          <w:lang w:val="en-US"/>
        </w:rPr>
        <w:t>AI</w:t>
      </w:r>
      <w:r w:rsidRPr="00975F6F">
        <w:rPr>
          <w:rFonts w:cs="Times New Roman"/>
          <w:szCs w:val="24"/>
          <w:lang w:val="ru-RU"/>
        </w:rPr>
        <w:t>) и продукти в кръговата икономика.</w:t>
      </w:r>
    </w:p>
    <w:p w:rsidR="00F0642A" w:rsidRPr="00975F6F" w:rsidRDefault="00F0642A" w:rsidP="00F0642A">
      <w:pPr>
        <w:jc w:val="both"/>
        <w:rPr>
          <w:rFonts w:cs="Times New Roman"/>
          <w:szCs w:val="24"/>
          <w:lang w:val="ru-RU"/>
        </w:rPr>
      </w:pPr>
      <w:r w:rsidRPr="00975F6F">
        <w:rPr>
          <w:rFonts w:cs="Times New Roman"/>
          <w:szCs w:val="24"/>
          <w:lang w:val="ru-RU"/>
        </w:rPr>
        <w:t>Споделянето на данни е втората основна ос, на която се основава новият европейски цифров дневен ред. Като се стреми към иновации, базирани на данни, ЕС възнамерява да запази баланса между свободния поток от данни и запазването на поверителността</w:t>
      </w:r>
      <w:r w:rsidRPr="00555E90">
        <w:rPr>
          <w:rFonts w:cs="Times New Roman"/>
          <w:szCs w:val="24"/>
        </w:rPr>
        <w:t>/ неприкосновеността</w:t>
      </w:r>
      <w:r w:rsidRPr="00975F6F">
        <w:rPr>
          <w:rFonts w:cs="Times New Roman"/>
          <w:szCs w:val="24"/>
          <w:lang w:val="ru-RU"/>
        </w:rPr>
        <w:t xml:space="preserve">, сигурността, безопасността и етичните стандарти. Това включва проучване на начини за използване и споделяне на нелични данни с цел разработване на нови печеливши технологии и бизнес модели. В тази връзка през февруари 2020 г. беше публикувана Европейска стратегия за данни заедно с Бялата книга за ИИ. Първият стълб на европейската стратегия за данните е Европейският акт за управление на данните (Регламент (ЕС) 2022/868). Актът беше публикуван в Официалния вестник на ЕС на 3 юни 2022 г., влезе в сила на 23 юни 2022 г. и ще се прилага от септември 2023 г. Европейският закон за управление на данните има за цел да увеличи наличността на данните, повторното използване и доверието в споделянето на данни. Освен това на 23 февруари 2022 г. Комисията публикува предложение относно хармонизирани правила за справедлив достъп до и използване на данни (Закона за данните), което ще осигури втория стълб на европейската стратегия за данните. Когато бъде приет, Законът за данните ще подобри достъпа до данни както за бизнеса, така и за потребителите. На 26 януари 2022 г. Комисията предложи декларация относно европейските цифрови права и принципи, насочена към насърчаване на цифров преход, насочен към човека, основан на европейски ценности. Данните се считат за основен ресурс за обществения прогрес като цяло и в частност за икономическия растеж, конкурентоспособността, иновациите и създаването на работни места. Създаването на европейско пространство за данни, третият стълб на европейската стратегия за данни, е един от приоритетите на Комисията за периода 2019-2025 г. и ще включва девет сектора: здравеопазване, околна среда, енергетика, селско стопанство, мобилност, финанси, производство, обществен администрация и умения. ЕС ще създаде европейски облак като част от своя план </w:t>
      </w:r>
      <w:r w:rsidRPr="00555E90">
        <w:rPr>
          <w:rFonts w:cs="Times New Roman"/>
          <w:szCs w:val="24"/>
          <w:lang w:val="en-US"/>
        </w:rPr>
        <w:t>NextGenerationEU</w:t>
      </w:r>
      <w:r w:rsidRPr="00975F6F">
        <w:rPr>
          <w:rFonts w:cs="Times New Roman"/>
          <w:szCs w:val="24"/>
          <w:lang w:val="ru-RU"/>
        </w:rPr>
        <w:t xml:space="preserve">, базиран на </w:t>
      </w:r>
      <w:r w:rsidRPr="00555E90">
        <w:rPr>
          <w:rFonts w:cs="Times New Roman"/>
          <w:szCs w:val="24"/>
          <w:lang w:val="en-US"/>
        </w:rPr>
        <w:t>Gaia</w:t>
      </w:r>
      <w:r w:rsidRPr="00975F6F">
        <w:rPr>
          <w:rFonts w:cs="Times New Roman"/>
          <w:szCs w:val="24"/>
          <w:lang w:val="ru-RU"/>
        </w:rPr>
        <w:t>-</w:t>
      </w:r>
      <w:r w:rsidRPr="00555E90">
        <w:rPr>
          <w:rFonts w:cs="Times New Roman"/>
          <w:szCs w:val="24"/>
          <w:lang w:val="en-US"/>
        </w:rPr>
        <w:t>X</w:t>
      </w:r>
      <w:r w:rsidRPr="00975F6F">
        <w:rPr>
          <w:rFonts w:cs="Times New Roman"/>
          <w:szCs w:val="24"/>
          <w:lang w:val="ru-RU"/>
        </w:rPr>
        <w:t>, отворена, прозрачна и сигурна цифрова екосистема, където свободният поток от данни и услуги може да бъде предоставен.</w:t>
      </w:r>
    </w:p>
    <w:p w:rsidR="00F0642A" w:rsidRPr="00975F6F" w:rsidRDefault="00F0642A" w:rsidP="00F0642A">
      <w:pPr>
        <w:jc w:val="both"/>
        <w:rPr>
          <w:rFonts w:cs="Times New Roman"/>
          <w:szCs w:val="24"/>
          <w:lang w:val="ru-RU"/>
        </w:rPr>
      </w:pPr>
      <w:r w:rsidRPr="00975F6F">
        <w:rPr>
          <w:rFonts w:cs="Times New Roman"/>
          <w:szCs w:val="24"/>
          <w:lang w:val="ru-RU"/>
        </w:rPr>
        <w:t>Друг крайъгълен камък на цифровата стратегия е създаването на по-безопасен и по-отворен цифров единен пазар, защитаващ основните права на потребителите и създаващ равнопоставени условия за бизнеса. Пакетът включва две законодателни инициативи: Закона за цифровите услуги (</w:t>
      </w:r>
      <w:r w:rsidRPr="00555E90">
        <w:rPr>
          <w:rFonts w:cs="Times New Roman"/>
          <w:szCs w:val="24"/>
          <w:lang w:val="en-US"/>
        </w:rPr>
        <w:t>DSA</w:t>
      </w:r>
      <w:r w:rsidRPr="00975F6F">
        <w:rPr>
          <w:rFonts w:cs="Times New Roman"/>
          <w:szCs w:val="24"/>
          <w:lang w:val="ru-RU"/>
        </w:rPr>
        <w:t>) и Закона за цифровите пазари (</w:t>
      </w:r>
      <w:r w:rsidRPr="00555E90">
        <w:rPr>
          <w:rFonts w:cs="Times New Roman"/>
          <w:szCs w:val="24"/>
          <w:lang w:val="en-US"/>
        </w:rPr>
        <w:t>DMA</w:t>
      </w:r>
      <w:r w:rsidRPr="00975F6F">
        <w:rPr>
          <w:rFonts w:cs="Times New Roman"/>
          <w:szCs w:val="24"/>
          <w:lang w:val="ru-RU"/>
        </w:rPr>
        <w:t xml:space="preserve">), чиято цел е да надгради правилата, управляващи цифровите услуги в ЕС. Откакто бяха приети от Парламента и Съвета съответно на 19 октомври 2022 г. и 14 септември 2022 г., </w:t>
      </w:r>
      <w:r w:rsidRPr="00555E90">
        <w:rPr>
          <w:rFonts w:cs="Times New Roman"/>
          <w:szCs w:val="24"/>
          <w:lang w:val="en-US"/>
        </w:rPr>
        <w:t>DSA</w:t>
      </w:r>
      <w:r w:rsidRPr="00975F6F">
        <w:rPr>
          <w:rFonts w:cs="Times New Roman"/>
          <w:szCs w:val="24"/>
          <w:lang w:val="ru-RU"/>
        </w:rPr>
        <w:t xml:space="preserve"> и </w:t>
      </w:r>
      <w:r w:rsidRPr="00555E90">
        <w:rPr>
          <w:rFonts w:cs="Times New Roman"/>
          <w:szCs w:val="24"/>
          <w:lang w:val="en-US"/>
        </w:rPr>
        <w:t>DMA</w:t>
      </w:r>
      <w:r w:rsidRPr="00975F6F">
        <w:rPr>
          <w:rFonts w:cs="Times New Roman"/>
          <w:szCs w:val="24"/>
          <w:lang w:val="ru-RU"/>
        </w:rPr>
        <w:t xml:space="preserve"> завършват цифровия единен пазар чрез съгласуван набор от нови правила, приложими в целия ЕС. Действително </w:t>
      </w:r>
      <w:r w:rsidRPr="00555E90">
        <w:rPr>
          <w:rFonts w:cs="Times New Roman"/>
          <w:szCs w:val="24"/>
          <w:lang w:val="en-US"/>
        </w:rPr>
        <w:t>DSA</w:t>
      </w:r>
      <w:r w:rsidRPr="00975F6F">
        <w:rPr>
          <w:rFonts w:cs="Times New Roman"/>
          <w:szCs w:val="24"/>
          <w:lang w:val="ru-RU"/>
        </w:rPr>
        <w:t xml:space="preserve"> определя ясни правила за отговорност и отчетност за доставчиците на посреднически услуги и по-специално онлайн платформи, като социални медии и пазари. Много големите онлайн платформи ще подлежат на специфични задължения поради специфичните рискове, които създават при разпространението както на незаконно, така и на вредно съдържание. </w:t>
      </w:r>
      <w:r w:rsidRPr="00555E90">
        <w:rPr>
          <w:rFonts w:cs="Times New Roman"/>
          <w:szCs w:val="24"/>
          <w:lang w:val="en-US"/>
        </w:rPr>
        <w:t>DSA</w:t>
      </w:r>
      <w:r w:rsidRPr="00975F6F">
        <w:rPr>
          <w:rFonts w:cs="Times New Roman"/>
          <w:szCs w:val="24"/>
          <w:lang w:val="ru-RU"/>
        </w:rPr>
        <w:t xml:space="preserve"> определя правилата за това какво ще могат да правят компании със статут на „</w:t>
      </w:r>
      <w:r w:rsidRPr="00555E90">
        <w:rPr>
          <w:rFonts w:cs="Times New Roman"/>
          <w:szCs w:val="24"/>
          <w:lang w:val="en-US"/>
        </w:rPr>
        <w:t>gatekeeper</w:t>
      </w:r>
      <w:r w:rsidRPr="00975F6F">
        <w:rPr>
          <w:rFonts w:cs="Times New Roman"/>
          <w:szCs w:val="24"/>
          <w:lang w:val="ru-RU"/>
        </w:rPr>
        <w:t xml:space="preserve">“ в ЕС. Регламентът ще се прилага за големи компании, предоставящи така наречените основни платформени услуги, които са най-податливи на нелоялни практики. Статутът на пазачи е даден, </w:t>
      </w:r>
      <w:r w:rsidRPr="00555E90">
        <w:rPr>
          <w:rFonts w:cs="Times New Roman"/>
          <w:szCs w:val="24"/>
          <w:lang w:val="en-US"/>
        </w:rPr>
        <w:t>inter</w:t>
      </w:r>
      <w:r w:rsidRPr="00975F6F">
        <w:rPr>
          <w:rFonts w:cs="Times New Roman"/>
          <w:szCs w:val="24"/>
          <w:lang w:val="ru-RU"/>
        </w:rPr>
        <w:t xml:space="preserve"> </w:t>
      </w:r>
      <w:r w:rsidRPr="00555E90">
        <w:rPr>
          <w:rFonts w:cs="Times New Roman"/>
          <w:szCs w:val="24"/>
          <w:lang w:val="en-US"/>
        </w:rPr>
        <w:t>alia</w:t>
      </w:r>
      <w:r w:rsidRPr="00975F6F">
        <w:rPr>
          <w:rFonts w:cs="Times New Roman"/>
          <w:szCs w:val="24"/>
          <w:lang w:val="ru-RU"/>
        </w:rPr>
        <w:t>, на онлайн посредническите услуги, социалните мрежи, търсачките, операционните системи, онлайн рекламните услуги, облачните изчисления и услугите за споделяне на видео.</w:t>
      </w:r>
    </w:p>
    <w:p w:rsidR="00F0642A" w:rsidRPr="00975F6F" w:rsidRDefault="00F0642A" w:rsidP="00F0642A">
      <w:pPr>
        <w:jc w:val="both"/>
        <w:rPr>
          <w:rFonts w:cs="Times New Roman"/>
          <w:szCs w:val="24"/>
          <w:lang w:val="ru-RU"/>
        </w:rPr>
      </w:pPr>
      <w:r w:rsidRPr="00555E90">
        <w:rPr>
          <w:rFonts w:cs="Times New Roman"/>
          <w:b/>
          <w:szCs w:val="24"/>
        </w:rPr>
        <w:lastRenderedPageBreak/>
        <w:t xml:space="preserve">Цифровият дневен ред </w:t>
      </w:r>
      <w:r w:rsidRPr="00975F6F">
        <w:rPr>
          <w:rFonts w:cs="Times New Roman"/>
          <w:b/>
          <w:szCs w:val="24"/>
          <w:lang w:val="ru-RU"/>
        </w:rPr>
        <w:t xml:space="preserve"> поставя значителен акцент върху електронното управление и трансграничното сътрудничество в публичния сектор. </w:t>
      </w:r>
      <w:r w:rsidRPr="00975F6F">
        <w:rPr>
          <w:rFonts w:cs="Times New Roman"/>
          <w:szCs w:val="24"/>
          <w:lang w:val="ru-RU"/>
        </w:rPr>
        <w:t xml:space="preserve">На 18 ноември 2022 г. Комисията издаде предложение относно оперативно съвместим европейски акт, който има за цел да помогне на ЕС и неговите държави членки да предоставят по-добри обществени услуги на гражданите и предприятията. Ще бъде създаден оперативно съвместим европейски борд, който ще се състои от представители на държавите-членки на ЕС, Комисията, Комитета на регионите и Европейския икономически и социален комитет. Освен всичко друго, пандемията от </w:t>
      </w:r>
      <w:r w:rsidRPr="00555E90">
        <w:rPr>
          <w:rFonts w:cs="Times New Roman"/>
          <w:szCs w:val="24"/>
          <w:lang w:val="en-US"/>
        </w:rPr>
        <w:t>COVID</w:t>
      </w:r>
      <w:r w:rsidRPr="00975F6F">
        <w:rPr>
          <w:rFonts w:cs="Times New Roman"/>
          <w:szCs w:val="24"/>
          <w:lang w:val="ru-RU"/>
        </w:rPr>
        <w:t xml:space="preserve">-19 послужи като мотивация за ускоряване на развитието на европейската оперативна съвместимост, която беше олицетворена в цифровия </w:t>
      </w:r>
      <w:r w:rsidRPr="00555E90">
        <w:rPr>
          <w:rFonts w:cs="Times New Roman"/>
          <w:szCs w:val="24"/>
          <w:lang w:val="en-US"/>
        </w:rPr>
        <w:t>COVID</w:t>
      </w:r>
      <w:r w:rsidRPr="00975F6F">
        <w:rPr>
          <w:rFonts w:cs="Times New Roman"/>
          <w:szCs w:val="24"/>
          <w:lang w:val="ru-RU"/>
        </w:rPr>
        <w:t xml:space="preserve"> сертификат на ЕС. Проектът на регламент беше придружен от съобщение (</w:t>
      </w:r>
      <w:r w:rsidRPr="00555E90">
        <w:rPr>
          <w:rFonts w:cs="Times New Roman"/>
          <w:szCs w:val="24"/>
          <w:lang w:val="en-US"/>
        </w:rPr>
        <w:t>COM</w:t>
      </w:r>
      <w:r w:rsidRPr="00975F6F">
        <w:rPr>
          <w:rFonts w:cs="Times New Roman"/>
          <w:szCs w:val="24"/>
          <w:lang w:val="ru-RU"/>
        </w:rPr>
        <w:t>(2022)710) на Комисията за разпространение на значението на подобрената трансгранична оперативна съвместимост и сътрудничество в публичния сектор.</w:t>
      </w:r>
    </w:p>
    <w:p w:rsidR="00F0642A" w:rsidRPr="00975F6F" w:rsidRDefault="00F0642A" w:rsidP="00F0642A">
      <w:pPr>
        <w:jc w:val="both"/>
        <w:rPr>
          <w:rFonts w:cs="Times New Roman"/>
          <w:szCs w:val="24"/>
          <w:lang w:val="ru-RU"/>
        </w:rPr>
      </w:pPr>
      <w:r w:rsidRPr="00975F6F">
        <w:rPr>
          <w:rFonts w:cs="Times New Roman"/>
          <w:szCs w:val="24"/>
          <w:lang w:val="ru-RU"/>
        </w:rPr>
        <w:t>На 10 ноември 2022 г., в светлината на продължаващата руска агресия срещу Украйна, Комисията и върховният представител издадоха съвместно съобщение (</w:t>
      </w:r>
      <w:r w:rsidRPr="00555E90">
        <w:rPr>
          <w:rFonts w:cs="Times New Roman"/>
          <w:szCs w:val="24"/>
          <w:lang w:val="en-US"/>
        </w:rPr>
        <w:t>JOIN</w:t>
      </w:r>
      <w:r w:rsidRPr="00975F6F">
        <w:rPr>
          <w:rFonts w:cs="Times New Roman"/>
          <w:szCs w:val="24"/>
          <w:lang w:val="ru-RU"/>
        </w:rPr>
        <w:t>(2022)49) относно политика на ЕС за киберзащита, заедно с план за действие относно военната мобилност 2.0. Новата политика за киберзащита ще увеличи инвестициите в киберотбраната, като по този начин ще засили сътрудничеството между военните и гражданските киберобщности. Това ще доведе до ефективно управление на киберкризи в рамките на ЕС и ще помогне за намаляване на стратегическите зависимости на ЕС от критични кибертехнологии, като същевременно укрепва Европейската отбранителна технологична индустриална база (</w:t>
      </w:r>
      <w:r w:rsidRPr="00555E90">
        <w:rPr>
          <w:rFonts w:cs="Times New Roman"/>
          <w:szCs w:val="24"/>
          <w:lang w:val="en-US"/>
        </w:rPr>
        <w:t>EDTIB</w:t>
      </w:r>
      <w:r w:rsidRPr="00975F6F">
        <w:rPr>
          <w:rFonts w:cs="Times New Roman"/>
          <w:szCs w:val="24"/>
          <w:lang w:val="ru-RU"/>
        </w:rPr>
        <w:t>).</w:t>
      </w:r>
    </w:p>
    <w:p w:rsidR="00F0642A" w:rsidRPr="00975F6F" w:rsidRDefault="00F0642A" w:rsidP="00F0642A">
      <w:pPr>
        <w:jc w:val="both"/>
        <w:rPr>
          <w:rFonts w:cs="Times New Roman"/>
          <w:szCs w:val="24"/>
          <w:lang w:val="ru-RU"/>
        </w:rPr>
      </w:pPr>
      <w:r w:rsidRPr="00975F6F">
        <w:rPr>
          <w:rFonts w:cs="Times New Roman"/>
          <w:szCs w:val="24"/>
          <w:lang w:val="ru-RU"/>
        </w:rPr>
        <w:t>Изграждането на доверие в онлайн средата е от ключово значение за социалното и икономическо развитие и следователно допълнителен приоритет. Регламентът относно електронната идентификация и доверителните услуги за електронни транзакции на вътрешния пазар (Регламент (ЕС) № 910/2014) е крайъгълен камък за създаване на предвидима регулаторна среда, която помага на гражданите, предприятията и публичните органи да осъществяват сигурни електронни взаимодействия. Правейки по-нататъшни стъпки към тези цели, Комисията публикува предложение за изменение на Регламента за цифровата идентичност (</w:t>
      </w:r>
      <w:r w:rsidRPr="00555E90">
        <w:rPr>
          <w:rFonts w:cs="Times New Roman"/>
          <w:szCs w:val="24"/>
          <w:lang w:val="en-US"/>
        </w:rPr>
        <w:t>COM</w:t>
      </w:r>
      <w:r w:rsidRPr="00975F6F">
        <w:rPr>
          <w:rFonts w:cs="Times New Roman"/>
          <w:szCs w:val="24"/>
          <w:lang w:val="ru-RU"/>
        </w:rPr>
        <w:t>(2021)281), целящо да позволи на най-малко 80% от хората безопасно да използват цифрова самоличност за достъп до ключови обществени услуги през границите на ЕС до 2030 г.</w:t>
      </w:r>
    </w:p>
    <w:p w:rsidR="00F0642A" w:rsidRPr="00975F6F" w:rsidRDefault="00F0642A" w:rsidP="00F0642A">
      <w:pPr>
        <w:jc w:val="both"/>
        <w:rPr>
          <w:rFonts w:cs="Times New Roman"/>
          <w:szCs w:val="24"/>
          <w:lang w:val="ru-RU"/>
        </w:rPr>
      </w:pPr>
      <w:r w:rsidRPr="00975F6F">
        <w:rPr>
          <w:rFonts w:cs="Times New Roman"/>
          <w:szCs w:val="24"/>
          <w:lang w:val="ru-RU"/>
        </w:rPr>
        <w:t>В допълнение към последователното регулиране в рамките на единния пазар, ЕС също така поставя акцент върху обучението на своите граждани в използването на цифрови технологии. Планът за действие за цифрово образование (2021-2027) е обновена политическа инициатива на ЕС в подкрепа на устойчивото и ефективно адаптиране на системите за образование и обучение на държавите-членки на ЕС към цифровата ера. За постигането на тези цели планът за действие определя две приоритетни области: насърчаване на развитието на високоефективна екосистема за цифрово образование и подобряване на цифровите умения и компетенции за цифровата трансформация.</w:t>
      </w:r>
    </w:p>
    <w:p w:rsidR="00F0642A" w:rsidRPr="00975F6F" w:rsidRDefault="00F0642A" w:rsidP="00F0642A">
      <w:pPr>
        <w:jc w:val="both"/>
        <w:rPr>
          <w:rFonts w:cs="Times New Roman"/>
          <w:szCs w:val="24"/>
          <w:lang w:val="ru-RU"/>
        </w:rPr>
      </w:pPr>
      <w:r w:rsidRPr="00975F6F">
        <w:rPr>
          <w:rFonts w:cs="Times New Roman"/>
          <w:szCs w:val="24"/>
          <w:lang w:val="ru-RU"/>
        </w:rPr>
        <w:t>В съобщение (</w:t>
      </w:r>
      <w:r w:rsidRPr="00555E90">
        <w:rPr>
          <w:rFonts w:cs="Times New Roman"/>
          <w:szCs w:val="24"/>
          <w:lang w:val="en-US"/>
        </w:rPr>
        <w:t>COM</w:t>
      </w:r>
      <w:r w:rsidRPr="00975F6F">
        <w:rPr>
          <w:rFonts w:cs="Times New Roman"/>
          <w:szCs w:val="24"/>
          <w:lang w:val="ru-RU"/>
        </w:rPr>
        <w:t xml:space="preserve">(2020)0784) от декември 2020 г. Комисията формулира своя план за действие в подкрепа на възстановяването и трансформацията на европейския медиен и аудио-визуален сектор, като се занимава с дългогодишни проблеми, като например фрагментацията на пазара. Планът за действие също така подчертава необходимостта ЕС и държавите членки да увеличат националната подкрепа за средства, предоставени чрез </w:t>
      </w:r>
      <w:r w:rsidRPr="00975F6F">
        <w:rPr>
          <w:rFonts w:cs="Times New Roman"/>
          <w:szCs w:val="24"/>
          <w:lang w:val="ru-RU"/>
        </w:rPr>
        <w:lastRenderedPageBreak/>
        <w:t>одобрени национални планове за възстановяване. В плана за действие се споменава разрушителното въздействие на глобалните онлайн платформи върху медийния сектор и необходимостта от справяне с хегемонията на тези платформи на пазарите на данни и реклама.</w:t>
      </w:r>
    </w:p>
    <w:p w:rsidR="00F0642A" w:rsidRPr="00975F6F" w:rsidRDefault="00F0642A" w:rsidP="00F0642A">
      <w:pPr>
        <w:jc w:val="both"/>
        <w:rPr>
          <w:rFonts w:cs="Times New Roman"/>
          <w:szCs w:val="24"/>
          <w:lang w:val="ru-RU"/>
        </w:rPr>
      </w:pPr>
      <w:r w:rsidRPr="00975F6F">
        <w:rPr>
          <w:rFonts w:cs="Times New Roman"/>
          <w:szCs w:val="24"/>
          <w:lang w:val="ru-RU"/>
        </w:rPr>
        <w:t>Европейският план за действие за демокрация върви ръка за ръка с медийния и аудио-визуалния план за действие, който има за цел да помогне на сектора да се възстанови и да се възползва максимално от цифровата трансформация. Първият се отнася и до влошаването на свободата на медиите, тъй като физическите и онлайн заплахи срещу журналисти нарастват в няколко държави членки. Индексът на цифровата икономика и общество (</w:t>
      </w:r>
      <w:r w:rsidRPr="00555E90">
        <w:rPr>
          <w:rFonts w:cs="Times New Roman"/>
          <w:szCs w:val="24"/>
          <w:lang w:val="en-US"/>
        </w:rPr>
        <w:t>DESI</w:t>
      </w:r>
      <w:r w:rsidRPr="00975F6F">
        <w:rPr>
          <w:rFonts w:cs="Times New Roman"/>
          <w:szCs w:val="24"/>
          <w:lang w:val="ru-RU"/>
        </w:rPr>
        <w:t xml:space="preserve">) е набор от индикатори, проследяващи цифровия напредък на страните от ЕС в реализирането на единния европейски цифров пазар. Всяка година профилите на страните </w:t>
      </w:r>
      <w:r w:rsidRPr="00555E90">
        <w:rPr>
          <w:rFonts w:cs="Times New Roman"/>
          <w:szCs w:val="24"/>
          <w:lang w:val="en-US"/>
        </w:rPr>
        <w:t>DESI</w:t>
      </w:r>
      <w:r w:rsidRPr="00975F6F">
        <w:rPr>
          <w:rFonts w:cs="Times New Roman"/>
          <w:szCs w:val="24"/>
          <w:lang w:val="ru-RU"/>
        </w:rPr>
        <w:t xml:space="preserve"> подпомагат държавите-членки при идентифицирането на области, изискващи приоритетни действия. Новите индикатори са коригирани, за да включват инструмента за възстановяване и устойчивост и цифровия компас.</w:t>
      </w:r>
    </w:p>
    <w:p w:rsidR="00F0642A" w:rsidRPr="00555E90" w:rsidRDefault="00F0642A" w:rsidP="00F0642A">
      <w:pPr>
        <w:jc w:val="both"/>
        <w:rPr>
          <w:rFonts w:cs="Times New Roman"/>
          <w:szCs w:val="24"/>
        </w:rPr>
      </w:pPr>
      <w:r w:rsidRPr="00555E90">
        <w:rPr>
          <w:rFonts w:cs="Times New Roman"/>
          <w:b/>
          <w:szCs w:val="24"/>
        </w:rPr>
        <w:t>Политическа програма цифрово десетилетие 2030</w:t>
      </w:r>
      <w:r w:rsidRPr="00555E90">
        <w:rPr>
          <w:rFonts w:cs="Times New Roman"/>
          <w:szCs w:val="24"/>
        </w:rPr>
        <w:t xml:space="preserve"> </w:t>
      </w:r>
      <w:hyperlink r:id="rId32" w:history="1">
        <w:r w:rsidRPr="00157805">
          <w:rPr>
            <w:rFonts w:cs="Times New Roman"/>
            <w:color w:val="0563C1" w:themeColor="hyperlink"/>
            <w:szCs w:val="24"/>
            <w:u w:val="single"/>
          </w:rPr>
          <w:t>https://eur-lex.europa.eu/legal-content/BG/TXT/PDF/?uri=CELEX:32022D2481</w:t>
        </w:r>
      </w:hyperlink>
      <w:r w:rsidRPr="00555E90">
        <w:rPr>
          <w:rFonts w:cs="Times New Roman"/>
          <w:szCs w:val="24"/>
        </w:rPr>
        <w:t xml:space="preserve"> </w:t>
      </w:r>
    </w:p>
    <w:p w:rsidR="00F0642A" w:rsidRPr="00555E90" w:rsidRDefault="00F0642A" w:rsidP="00F0642A">
      <w:pPr>
        <w:jc w:val="both"/>
        <w:rPr>
          <w:rFonts w:cs="Times New Roman"/>
          <w:szCs w:val="24"/>
        </w:rPr>
      </w:pPr>
    </w:p>
    <w:tbl>
      <w:tblPr>
        <w:tblStyle w:val="TableGrid2"/>
        <w:tblW w:w="0" w:type="auto"/>
        <w:tblLook w:val="04A0" w:firstRow="1" w:lastRow="0" w:firstColumn="1" w:lastColumn="0" w:noHBand="0" w:noVBand="1"/>
      </w:tblPr>
      <w:tblGrid>
        <w:gridCol w:w="9283"/>
      </w:tblGrid>
      <w:tr w:rsidR="00F0642A" w:rsidRPr="00555E90" w:rsidTr="00D27684">
        <w:tc>
          <w:tcPr>
            <w:tcW w:w="9396" w:type="dxa"/>
          </w:tcPr>
          <w:p w:rsidR="00F0642A" w:rsidRPr="00975F6F" w:rsidRDefault="00F0642A" w:rsidP="00D27684">
            <w:pPr>
              <w:jc w:val="both"/>
              <w:rPr>
                <w:rFonts w:cs="Times New Roman"/>
                <w:i/>
                <w:szCs w:val="24"/>
                <w:lang w:val="ru-RU"/>
              </w:rPr>
            </w:pPr>
            <w:r w:rsidRPr="00975F6F">
              <w:rPr>
                <w:rFonts w:cs="Times New Roman"/>
                <w:b/>
                <w:i/>
                <w:szCs w:val="24"/>
                <w:u w:val="single"/>
                <w:lang w:val="ru-RU"/>
              </w:rPr>
              <w:t>В България</w:t>
            </w:r>
            <w:r w:rsidRPr="00975F6F">
              <w:rPr>
                <w:rFonts w:cs="Times New Roman"/>
                <w:b/>
                <w:i/>
                <w:szCs w:val="24"/>
                <w:lang w:val="ru-RU"/>
              </w:rPr>
              <w:t>- 3</w:t>
            </w:r>
            <w:r w:rsidRPr="00975F6F">
              <w:rPr>
                <w:rFonts w:cs="Times New Roman"/>
                <w:i/>
                <w:szCs w:val="24"/>
                <w:lang w:val="ru-RU"/>
              </w:rPr>
              <w:t xml:space="preserve"> задачи от Правителствената програма-анализ траектории и пътна карта; създаден КС в МЕУ на ИКТ общността и Съвет по цифрово десетилетие към МС; междуведомствена РГ Цифрово десетилетие и вътрешна експертна група в МЕУ по темата; Участваме в борда на ЕК-МЕУ МТС МИР;</w:t>
            </w:r>
          </w:p>
          <w:p w:rsidR="00F0642A" w:rsidRPr="00975F6F" w:rsidRDefault="00F0642A" w:rsidP="00D27684">
            <w:pPr>
              <w:jc w:val="both"/>
              <w:rPr>
                <w:rFonts w:cs="Times New Roman"/>
                <w:i/>
                <w:szCs w:val="24"/>
                <w:lang w:val="ru-RU"/>
              </w:rPr>
            </w:pPr>
            <w:r w:rsidRPr="00975F6F">
              <w:rPr>
                <w:rFonts w:cs="Times New Roman"/>
                <w:i/>
                <w:szCs w:val="24"/>
                <w:lang w:val="ru-RU"/>
              </w:rPr>
              <w:t>Рамков документ цифрова трансформация от 2020 г.който сега актуализираме</w:t>
            </w:r>
          </w:p>
          <w:p w:rsidR="00F0642A" w:rsidRPr="00975F6F" w:rsidRDefault="00F0642A" w:rsidP="00D27684">
            <w:pPr>
              <w:jc w:val="both"/>
              <w:rPr>
                <w:rFonts w:cs="Times New Roman"/>
                <w:szCs w:val="24"/>
                <w:lang w:val="ru-RU"/>
              </w:rPr>
            </w:pPr>
          </w:p>
        </w:tc>
      </w:tr>
    </w:tbl>
    <w:p w:rsidR="00C74927" w:rsidRPr="00EC23C7" w:rsidRDefault="00C74927" w:rsidP="00F0642A">
      <w:pPr>
        <w:spacing w:after="0" w:line="240" w:lineRule="auto"/>
        <w:ind w:right="855"/>
        <w:jc w:val="both"/>
        <w:rPr>
          <w:rFonts w:cs="Times New Roman"/>
          <w:szCs w:val="24"/>
        </w:rPr>
      </w:pPr>
    </w:p>
    <w:p w:rsidR="00B001EF" w:rsidRPr="00B001EF" w:rsidRDefault="00F0642A" w:rsidP="00FA46AB">
      <w:pPr>
        <w:spacing w:after="60" w:line="240" w:lineRule="auto"/>
        <w:jc w:val="both"/>
        <w:outlineLvl w:val="1"/>
        <w:rPr>
          <w:rFonts w:eastAsia="Times New Roman" w:cs="Times New Roman"/>
          <w:b/>
          <w:bCs/>
          <w:color w:val="333333"/>
          <w:szCs w:val="24"/>
          <w:u w:val="single"/>
        </w:rPr>
      </w:pPr>
      <w:r>
        <w:rPr>
          <w:rFonts w:eastAsia="Times New Roman" w:cs="Times New Roman"/>
          <w:b/>
          <w:bCs/>
          <w:color w:val="333333"/>
          <w:szCs w:val="24"/>
          <w:u w:val="single"/>
        </w:rPr>
        <w:t>5</w:t>
      </w:r>
      <w:r w:rsidR="006E2B0F" w:rsidRPr="00FA46AB">
        <w:rPr>
          <w:rFonts w:eastAsia="Times New Roman" w:cs="Times New Roman"/>
          <w:b/>
          <w:bCs/>
          <w:color w:val="333333"/>
          <w:szCs w:val="24"/>
          <w:u w:val="single"/>
        </w:rPr>
        <w:t>.</w:t>
      </w:r>
      <w:r w:rsidR="00B001EF" w:rsidRPr="00975F6F">
        <w:rPr>
          <w:rFonts w:eastAsia="Times New Roman" w:cs="Times New Roman"/>
          <w:b/>
          <w:bCs/>
          <w:color w:val="333333"/>
          <w:szCs w:val="24"/>
          <w:u w:val="single"/>
          <w:lang w:val="ru-RU"/>
        </w:rPr>
        <w:t>Актуализиран национален стратегически документ „Цифрова трансформация на България за периода 2020-2030 г.“ и Национална пътна карта за цифрова трансформация на България до 2030 г.</w:t>
      </w:r>
      <w:r w:rsidR="006E2B0F" w:rsidRPr="00FA46AB">
        <w:rPr>
          <w:rFonts w:eastAsia="Times New Roman" w:cs="Times New Roman"/>
          <w:b/>
          <w:bCs/>
          <w:color w:val="333333"/>
          <w:szCs w:val="24"/>
          <w:u w:val="single"/>
        </w:rPr>
        <w:t>-проект</w:t>
      </w:r>
    </w:p>
    <w:p w:rsidR="00D75539" w:rsidRPr="00157805" w:rsidRDefault="006D29DD" w:rsidP="00FA46AB">
      <w:pPr>
        <w:pStyle w:val="Heading1"/>
        <w:spacing w:before="120" w:line="276" w:lineRule="auto"/>
        <w:jc w:val="both"/>
        <w:rPr>
          <w:rFonts w:cs="Times New Roman"/>
          <w:b w:val="0"/>
          <w:noProof/>
          <w:szCs w:val="24"/>
        </w:rPr>
      </w:pPr>
      <w:hyperlink r:id="rId33" w:history="1">
        <w:r w:rsidR="00B001EF" w:rsidRPr="00157805">
          <w:rPr>
            <w:rStyle w:val="Hyperlink"/>
            <w:rFonts w:cs="Times New Roman"/>
            <w:b w:val="0"/>
            <w:noProof/>
            <w:szCs w:val="24"/>
          </w:rPr>
          <w:t>https://www.strategy.bg/PublicConsultations/View.aspx?lang=bg-BG&amp;Id=8094</w:t>
        </w:r>
      </w:hyperlink>
      <w:r w:rsidR="00B001EF" w:rsidRPr="00157805">
        <w:rPr>
          <w:rFonts w:cs="Times New Roman"/>
          <w:b w:val="0"/>
          <w:noProof/>
          <w:szCs w:val="24"/>
        </w:rPr>
        <w:t xml:space="preserve"> </w:t>
      </w:r>
    </w:p>
    <w:p w:rsidR="00972AA7" w:rsidRPr="00157805" w:rsidRDefault="00972AA7" w:rsidP="00FA46AB">
      <w:pPr>
        <w:jc w:val="both"/>
        <w:rPr>
          <w:rFonts w:cs="Times New Roman"/>
          <w:szCs w:val="24"/>
        </w:rPr>
      </w:pPr>
    </w:p>
    <w:p w:rsidR="006E2B0F" w:rsidRPr="00157805" w:rsidRDefault="006E2B0F" w:rsidP="00FA46AB">
      <w:pPr>
        <w:jc w:val="both"/>
        <w:rPr>
          <w:rFonts w:cs="Times New Roman"/>
          <w:szCs w:val="24"/>
        </w:rPr>
      </w:pPr>
      <w:r w:rsidRPr="00157805">
        <w:rPr>
          <w:rFonts w:cs="Times New Roman"/>
          <w:szCs w:val="24"/>
        </w:rPr>
        <w:t>Изготвянето на националната пътна карта за цифрова трансформация на България до 2030 г. произтича от приетата с Решение (ЕС) 2022/2481 на Европейския парламент и на Съвета от 14 декември 2022 г. европейска политическа програма „Цифрово десетилетие“ до 2030 г., с която се въвежда механизъм за наблюдение и сътрудничество, предназначен за:</w:t>
      </w:r>
    </w:p>
    <w:p w:rsidR="006E2B0F" w:rsidRPr="00157805" w:rsidRDefault="006E2B0F" w:rsidP="00FA46AB">
      <w:pPr>
        <w:jc w:val="both"/>
        <w:rPr>
          <w:rFonts w:cs="Times New Roman"/>
          <w:szCs w:val="24"/>
        </w:rPr>
      </w:pPr>
      <w:r w:rsidRPr="00157805">
        <w:rPr>
          <w:rFonts w:cs="Times New Roman"/>
          <w:szCs w:val="24"/>
        </w:rPr>
        <w:t>a) създаване на среда, благоприятстваща иновациите и инвестициите, чрез определяне на ясна посока за цифровата трансформация на Съюза и за постигането на цифровите цели на нивото  на Съюза до 2030 г. въз основа на измерими показатели;</w:t>
      </w:r>
    </w:p>
    <w:p w:rsidR="006E2B0F" w:rsidRPr="00157805" w:rsidRDefault="006E2B0F" w:rsidP="00FA46AB">
      <w:pPr>
        <w:jc w:val="both"/>
        <w:rPr>
          <w:rFonts w:cs="Times New Roman"/>
          <w:szCs w:val="24"/>
        </w:rPr>
      </w:pPr>
      <w:r w:rsidRPr="00157805">
        <w:rPr>
          <w:rFonts w:cs="Times New Roman"/>
          <w:szCs w:val="24"/>
        </w:rPr>
        <w:t>б) структуриране и стимулиране на сътрудничеството между Европейския парламент, Съвета, Комисията и държавите членки;</w:t>
      </w:r>
    </w:p>
    <w:p w:rsidR="006E2B0F" w:rsidRPr="00157805" w:rsidRDefault="006E2B0F" w:rsidP="00FA46AB">
      <w:pPr>
        <w:jc w:val="both"/>
        <w:rPr>
          <w:rFonts w:cs="Times New Roman"/>
          <w:szCs w:val="24"/>
        </w:rPr>
      </w:pPr>
      <w:r w:rsidRPr="00157805">
        <w:rPr>
          <w:rFonts w:cs="Times New Roman"/>
          <w:szCs w:val="24"/>
        </w:rPr>
        <w:t>в) насърчаване на съгласуваността, съпоставимостта, прозрачността и пълнотата на наблюдението и докладването от страна на Съюза.</w:t>
      </w:r>
    </w:p>
    <w:p w:rsidR="006E2B0F" w:rsidRPr="00157805" w:rsidRDefault="006E2B0F" w:rsidP="00FA46AB">
      <w:pPr>
        <w:jc w:val="both"/>
        <w:rPr>
          <w:rFonts w:cs="Times New Roman"/>
          <w:szCs w:val="24"/>
        </w:rPr>
      </w:pPr>
      <w:r w:rsidRPr="00157805">
        <w:rPr>
          <w:rFonts w:cs="Times New Roman"/>
          <w:szCs w:val="24"/>
        </w:rPr>
        <w:t xml:space="preserve">С цел да се следва траекторията на ЕС по отношение на темпа на цифровата трансформация, на нивото на Съюза бяха определени цифрови цели, обвързани с </w:t>
      </w:r>
      <w:r w:rsidRPr="00157805">
        <w:rPr>
          <w:rFonts w:cs="Times New Roman"/>
          <w:szCs w:val="24"/>
        </w:rPr>
        <w:lastRenderedPageBreak/>
        <w:t>конкретни области, в които се очаква напредъкът да се постига колективно в рамките на ЕС. Цифровите цели са съобразени с четирите основни политически области (направления) в съобщението „Цифров компас“: цифрови умения, цифрови инфраструктури, цифровизация на предприятията и цифровизация на публичните услуги.</w:t>
      </w:r>
    </w:p>
    <w:p w:rsidR="006E2B0F" w:rsidRPr="00157805" w:rsidRDefault="006E2B0F" w:rsidP="00FA46AB">
      <w:pPr>
        <w:jc w:val="both"/>
        <w:rPr>
          <w:rFonts w:cs="Times New Roman"/>
          <w:szCs w:val="24"/>
        </w:rPr>
      </w:pPr>
      <w:r w:rsidRPr="00157805">
        <w:rPr>
          <w:rFonts w:cs="Times New Roman"/>
          <w:szCs w:val="24"/>
        </w:rPr>
        <w:t>Като част от процеса по изготвяне на националните пътни карти, държавите членки следваше да изготвят анализ на състоянието на цифровата трансформация на национално ниво. Приложеният тук аналитичен доклад е изготвен със съдействието на Световната банка и е одобрен от Съвета по цифровото десетилетие към Министерски съвет.</w:t>
      </w:r>
    </w:p>
    <w:p w:rsidR="006E2B0F" w:rsidRPr="00157805" w:rsidRDefault="006E2B0F" w:rsidP="00FA46AB">
      <w:pPr>
        <w:jc w:val="both"/>
        <w:rPr>
          <w:rFonts w:cs="Times New Roman"/>
          <w:szCs w:val="24"/>
        </w:rPr>
      </w:pPr>
      <w:r w:rsidRPr="00157805">
        <w:rPr>
          <w:rFonts w:cs="Times New Roman"/>
          <w:szCs w:val="24"/>
        </w:rPr>
        <w:t>Вторият задължителен документ, съпътстващ националната пътна карта, са националните прогнозни траектории за цифровите цели - предполагаемия път за всяка цифрова цел до 2030 г., които използват за основа прогнозните траектории на ниво ЕС. Приложеният тук доклад, съдържащ националните прогнозни траектории на България е изготвен при строго спазване на изискванията на ЕК и е одобрен от Съвета по цифровото десетилетие към Министерски съвет.</w:t>
      </w:r>
    </w:p>
    <w:p w:rsidR="00972AA7" w:rsidRPr="00157805" w:rsidRDefault="006E2B0F" w:rsidP="00FA46AB">
      <w:pPr>
        <w:jc w:val="both"/>
        <w:rPr>
          <w:rFonts w:cs="Times New Roman"/>
          <w:szCs w:val="24"/>
        </w:rPr>
      </w:pPr>
      <w:r w:rsidRPr="00157805">
        <w:rPr>
          <w:rFonts w:cs="Times New Roman"/>
          <w:szCs w:val="24"/>
        </w:rPr>
        <w:t>Националната стратегическа пътна карта за цифрова трансформация е изготвена изцяло по образеца, предоставен от ЕК и е съобразена с ограничението, наложено от Комисията, обемът на пътните карти да не надвишава 70 страници. Възприет е стратегически и всеобхватен подход към цифровата трансформация, насочен към националния ни принос за постигането на общите цели и задачи. В изготвянето и окончателното ѝ редактиране взеха участие всички институции, имащи отношение към цифровата трансформация – Министерски съвет, Министерство на иновациите и растежа, Министерство на образованието и науката, Министерство на труда и социалната политика, Министерство на правосъдието, Министерство на земеделието и храните, Комисия за регулиране на съобщенията, Национален статистически институт, Министерство на регионалното развитие и благоустройството, Национално сдружение на общините в Република България и др. Съдържанието ѝ кореспондира с основните планирани, приети и прилагани политики, мерки и действия, предоставени от българските институции, като е представена и прогноза за необходимите инвестиции и ресурси, както и общо описание на източниците на посочените инвестиции. В пътната карти са включени и изпълнявани многонационални проекти, сътрудничество на равнище ЕС, благоприятстващи фактори на равнище ЕС, обратна информация от заинтересованите страни и общо въздействие и заключение.</w:t>
      </w:r>
    </w:p>
    <w:p w:rsidR="00416B4A" w:rsidRPr="00157805" w:rsidRDefault="00416B4A" w:rsidP="00FA46AB">
      <w:pPr>
        <w:spacing w:before="120" w:after="0" w:line="276" w:lineRule="auto"/>
        <w:jc w:val="both"/>
        <w:rPr>
          <w:rFonts w:cs="Times New Roman"/>
          <w:szCs w:val="24"/>
          <w:highlight w:val="yellow"/>
        </w:rPr>
      </w:pPr>
    </w:p>
    <w:sectPr w:rsidR="00416B4A" w:rsidRPr="00157805" w:rsidSect="00D63ACB">
      <w:footerReference w:type="default" r:id="rId34"/>
      <w:pgSz w:w="11906" w:h="16838"/>
      <w:pgMar w:top="1417" w:right="1196"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DD" w:rsidRDefault="006D29DD" w:rsidP="00E60B31">
      <w:pPr>
        <w:spacing w:after="0" w:line="240" w:lineRule="auto"/>
      </w:pPr>
      <w:r>
        <w:separator/>
      </w:r>
    </w:p>
  </w:endnote>
  <w:endnote w:type="continuationSeparator" w:id="0">
    <w:p w:rsidR="006D29DD" w:rsidRDefault="006D29DD" w:rsidP="00E6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28925"/>
      <w:docPartObj>
        <w:docPartGallery w:val="Page Numbers (Bottom of Page)"/>
        <w:docPartUnique/>
      </w:docPartObj>
    </w:sdtPr>
    <w:sdtEndPr>
      <w:rPr>
        <w:noProof/>
      </w:rPr>
    </w:sdtEndPr>
    <w:sdtContent>
      <w:p w:rsidR="00336091" w:rsidRDefault="00336091">
        <w:pPr>
          <w:pStyle w:val="Footer"/>
          <w:jc w:val="right"/>
        </w:pPr>
        <w:r>
          <w:fldChar w:fldCharType="begin"/>
        </w:r>
        <w:r>
          <w:instrText xml:space="preserve"> PAGE   \* MERGEFORMAT </w:instrText>
        </w:r>
        <w:r>
          <w:fldChar w:fldCharType="separate"/>
        </w:r>
        <w:r w:rsidR="00EF3794">
          <w:rPr>
            <w:noProof/>
          </w:rPr>
          <w:t>2</w:t>
        </w:r>
        <w:r>
          <w:rPr>
            <w:noProof/>
          </w:rPr>
          <w:fldChar w:fldCharType="end"/>
        </w:r>
      </w:p>
    </w:sdtContent>
  </w:sdt>
  <w:p w:rsidR="00336091" w:rsidRDefault="00336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DD" w:rsidRDefault="006D29DD" w:rsidP="00E60B31">
      <w:pPr>
        <w:spacing w:after="0" w:line="240" w:lineRule="auto"/>
      </w:pPr>
      <w:r>
        <w:separator/>
      </w:r>
    </w:p>
  </w:footnote>
  <w:footnote w:type="continuationSeparator" w:id="0">
    <w:p w:rsidR="006D29DD" w:rsidRDefault="006D29DD" w:rsidP="00E6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8CB"/>
    <w:multiLevelType w:val="hybridMultilevel"/>
    <w:tmpl w:val="13E49190"/>
    <w:lvl w:ilvl="0" w:tplc="BF30494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6D5B8A"/>
    <w:multiLevelType w:val="hybridMultilevel"/>
    <w:tmpl w:val="D3ECA6D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39F07CD"/>
    <w:multiLevelType w:val="hybridMultilevel"/>
    <w:tmpl w:val="027C90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4AF6D0F"/>
    <w:multiLevelType w:val="hybridMultilevel"/>
    <w:tmpl w:val="3A344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FA7872"/>
    <w:multiLevelType w:val="hybridMultilevel"/>
    <w:tmpl w:val="D6AC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90BFD"/>
    <w:multiLevelType w:val="hybridMultilevel"/>
    <w:tmpl w:val="12CA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137783"/>
    <w:multiLevelType w:val="multilevel"/>
    <w:tmpl w:val="65EA4B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8047F"/>
    <w:multiLevelType w:val="hybridMultilevel"/>
    <w:tmpl w:val="59AEF3AE"/>
    <w:lvl w:ilvl="0" w:tplc="BF304946">
      <w:numFmt w:val="bullet"/>
      <w:lvlText w:val="-"/>
      <w:lvlJc w:val="left"/>
      <w:pPr>
        <w:ind w:left="720" w:hanging="360"/>
      </w:pPr>
      <w:rPr>
        <w:rFonts w:ascii="Times New Roman" w:eastAsiaTheme="minorHAns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BA901B7"/>
    <w:multiLevelType w:val="hybridMultilevel"/>
    <w:tmpl w:val="6A800F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CC60AF"/>
    <w:multiLevelType w:val="hybridMultilevel"/>
    <w:tmpl w:val="E2B020B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3E976DD"/>
    <w:multiLevelType w:val="hybridMultilevel"/>
    <w:tmpl w:val="20F255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4192926"/>
    <w:multiLevelType w:val="hybridMultilevel"/>
    <w:tmpl w:val="B1B03D5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44F49A8"/>
    <w:multiLevelType w:val="hybridMultilevel"/>
    <w:tmpl w:val="3ECA18B6"/>
    <w:lvl w:ilvl="0" w:tplc="A6A454BA">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D2D7D"/>
    <w:multiLevelType w:val="hybridMultilevel"/>
    <w:tmpl w:val="B880B9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7695E65"/>
    <w:multiLevelType w:val="hybridMultilevel"/>
    <w:tmpl w:val="9AE8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E70AE8"/>
    <w:multiLevelType w:val="hybridMultilevel"/>
    <w:tmpl w:val="3F5C15AE"/>
    <w:lvl w:ilvl="0" w:tplc="6E74AF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AA6003E"/>
    <w:multiLevelType w:val="hybridMultilevel"/>
    <w:tmpl w:val="1790371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CC620CA"/>
    <w:multiLevelType w:val="hybridMultilevel"/>
    <w:tmpl w:val="46D852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1D8F2F4E"/>
    <w:multiLevelType w:val="hybridMultilevel"/>
    <w:tmpl w:val="0E3C4ECC"/>
    <w:lvl w:ilvl="0" w:tplc="50A43BFE">
      <w:numFmt w:val="bullet"/>
      <w:lvlText w:val="•"/>
      <w:lvlJc w:val="left"/>
      <w:pPr>
        <w:ind w:left="1035" w:hanging="67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14D3025"/>
    <w:multiLevelType w:val="hybridMultilevel"/>
    <w:tmpl w:val="550C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76753BE"/>
    <w:multiLevelType w:val="hybridMultilevel"/>
    <w:tmpl w:val="D8747E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44A2823"/>
    <w:multiLevelType w:val="hybridMultilevel"/>
    <w:tmpl w:val="039487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5E712A7"/>
    <w:multiLevelType w:val="hybridMultilevel"/>
    <w:tmpl w:val="AA343A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6D957D2"/>
    <w:multiLevelType w:val="hybridMultilevel"/>
    <w:tmpl w:val="DB4A47D4"/>
    <w:lvl w:ilvl="0" w:tplc="04020001">
      <w:start w:val="1"/>
      <w:numFmt w:val="bullet"/>
      <w:lvlText w:val=""/>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4" w15:restartNumberingAfterBreak="0">
    <w:nsid w:val="39C75721"/>
    <w:multiLevelType w:val="hybridMultilevel"/>
    <w:tmpl w:val="63C8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75B4C"/>
    <w:multiLevelType w:val="hybridMultilevel"/>
    <w:tmpl w:val="4FC81C36"/>
    <w:lvl w:ilvl="0" w:tplc="F8DCC78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DB63D56"/>
    <w:multiLevelType w:val="hybridMultilevel"/>
    <w:tmpl w:val="92BA80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0234D2F"/>
    <w:multiLevelType w:val="hybridMultilevel"/>
    <w:tmpl w:val="8D02F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BDF642B"/>
    <w:multiLevelType w:val="hybridMultilevel"/>
    <w:tmpl w:val="45BA46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4E486572"/>
    <w:multiLevelType w:val="hybridMultilevel"/>
    <w:tmpl w:val="110EAF6E"/>
    <w:lvl w:ilvl="0" w:tplc="BF304946">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15:restartNumberingAfterBreak="0">
    <w:nsid w:val="4ECF2CA6"/>
    <w:multiLevelType w:val="hybridMultilevel"/>
    <w:tmpl w:val="49FA5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12A109D"/>
    <w:multiLevelType w:val="hybridMultilevel"/>
    <w:tmpl w:val="F16EA256"/>
    <w:lvl w:ilvl="0" w:tplc="BF304946">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55A44ECB"/>
    <w:multiLevelType w:val="hybridMultilevel"/>
    <w:tmpl w:val="139A3D98"/>
    <w:lvl w:ilvl="0" w:tplc="BF30494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63A3A64"/>
    <w:multiLevelType w:val="hybridMultilevel"/>
    <w:tmpl w:val="4F028494"/>
    <w:lvl w:ilvl="0" w:tplc="096E1094">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5352C5"/>
    <w:multiLevelType w:val="hybridMultilevel"/>
    <w:tmpl w:val="2F0435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E605D7D"/>
    <w:multiLevelType w:val="hybridMultilevel"/>
    <w:tmpl w:val="ABE85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06725CA"/>
    <w:multiLevelType w:val="multilevel"/>
    <w:tmpl w:val="FDF07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6A6369"/>
    <w:multiLevelType w:val="hybridMultilevel"/>
    <w:tmpl w:val="715679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39E6422"/>
    <w:multiLevelType w:val="hybridMultilevel"/>
    <w:tmpl w:val="6C488436"/>
    <w:lvl w:ilvl="0" w:tplc="9FD8C6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4E46DE"/>
    <w:multiLevelType w:val="hybridMultilevel"/>
    <w:tmpl w:val="BC581A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64E0A09"/>
    <w:multiLevelType w:val="hybridMultilevel"/>
    <w:tmpl w:val="724C2A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E132D5C"/>
    <w:multiLevelType w:val="hybridMultilevel"/>
    <w:tmpl w:val="98BE1A5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2" w15:restartNumberingAfterBreak="0">
    <w:nsid w:val="6E83728F"/>
    <w:multiLevelType w:val="hybridMultilevel"/>
    <w:tmpl w:val="2CC295E4"/>
    <w:lvl w:ilvl="0" w:tplc="0409000F">
      <w:start w:val="1"/>
      <w:numFmt w:val="decimal"/>
      <w:lvlText w:val="%1."/>
      <w:lvlJc w:val="left"/>
      <w:pPr>
        <w:ind w:left="720" w:hanging="360"/>
      </w:pPr>
    </w:lvl>
    <w:lvl w:ilvl="1" w:tplc="3E34D32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C628A"/>
    <w:multiLevelType w:val="hybridMultilevel"/>
    <w:tmpl w:val="381870C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4" w15:restartNumberingAfterBreak="0">
    <w:nsid w:val="71C312F8"/>
    <w:multiLevelType w:val="hybridMultilevel"/>
    <w:tmpl w:val="A4500D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28E07AD"/>
    <w:multiLevelType w:val="hybridMultilevel"/>
    <w:tmpl w:val="74E862A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15:restartNumberingAfterBreak="0">
    <w:nsid w:val="764C0FDD"/>
    <w:multiLevelType w:val="hybridMultilevel"/>
    <w:tmpl w:val="B5A88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84CB7"/>
    <w:multiLevelType w:val="hybridMultilevel"/>
    <w:tmpl w:val="7E2A7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0"/>
  </w:num>
  <w:num w:numId="3">
    <w:abstractNumId w:val="28"/>
  </w:num>
  <w:num w:numId="4">
    <w:abstractNumId w:val="37"/>
  </w:num>
  <w:num w:numId="5">
    <w:abstractNumId w:val="39"/>
  </w:num>
  <w:num w:numId="6">
    <w:abstractNumId w:val="44"/>
  </w:num>
  <w:num w:numId="7">
    <w:abstractNumId w:val="25"/>
  </w:num>
  <w:num w:numId="8">
    <w:abstractNumId w:val="8"/>
  </w:num>
  <w:num w:numId="9">
    <w:abstractNumId w:val="5"/>
  </w:num>
  <w:num w:numId="10">
    <w:abstractNumId w:val="46"/>
  </w:num>
  <w:num w:numId="11">
    <w:abstractNumId w:val="41"/>
  </w:num>
  <w:num w:numId="12">
    <w:abstractNumId w:val="13"/>
  </w:num>
  <w:num w:numId="13">
    <w:abstractNumId w:val="15"/>
  </w:num>
  <w:num w:numId="14">
    <w:abstractNumId w:val="3"/>
  </w:num>
  <w:num w:numId="15">
    <w:abstractNumId w:val="29"/>
  </w:num>
  <w:num w:numId="16">
    <w:abstractNumId w:val="0"/>
  </w:num>
  <w:num w:numId="17">
    <w:abstractNumId w:val="31"/>
  </w:num>
  <w:num w:numId="18">
    <w:abstractNumId w:val="26"/>
  </w:num>
  <w:num w:numId="19">
    <w:abstractNumId w:val="27"/>
  </w:num>
  <w:num w:numId="20">
    <w:abstractNumId w:val="40"/>
  </w:num>
  <w:num w:numId="21">
    <w:abstractNumId w:val="43"/>
  </w:num>
  <w:num w:numId="22">
    <w:abstractNumId w:val="7"/>
  </w:num>
  <w:num w:numId="23">
    <w:abstractNumId w:val="12"/>
  </w:num>
  <w:num w:numId="24">
    <w:abstractNumId w:val="47"/>
  </w:num>
  <w:num w:numId="25">
    <w:abstractNumId w:val="14"/>
  </w:num>
  <w:num w:numId="26">
    <w:abstractNumId w:val="4"/>
  </w:num>
  <w:num w:numId="27">
    <w:abstractNumId w:val="17"/>
  </w:num>
  <w:num w:numId="28">
    <w:abstractNumId w:val="9"/>
  </w:num>
  <w:num w:numId="29">
    <w:abstractNumId w:val="2"/>
  </w:num>
  <w:num w:numId="30">
    <w:abstractNumId w:val="20"/>
  </w:num>
  <w:num w:numId="31">
    <w:abstractNumId w:val="34"/>
  </w:num>
  <w:num w:numId="32">
    <w:abstractNumId w:val="6"/>
  </w:num>
  <w:num w:numId="33">
    <w:abstractNumId w:val="36"/>
  </w:num>
  <w:num w:numId="34">
    <w:abstractNumId w:val="23"/>
  </w:num>
  <w:num w:numId="35">
    <w:abstractNumId w:val="18"/>
  </w:num>
  <w:num w:numId="36">
    <w:abstractNumId w:val="19"/>
  </w:num>
  <w:num w:numId="37">
    <w:abstractNumId w:val="16"/>
  </w:num>
  <w:num w:numId="38">
    <w:abstractNumId w:val="33"/>
  </w:num>
  <w:num w:numId="39">
    <w:abstractNumId w:val="32"/>
  </w:num>
  <w:num w:numId="40">
    <w:abstractNumId w:val="22"/>
  </w:num>
  <w:num w:numId="41">
    <w:abstractNumId w:val="42"/>
  </w:num>
  <w:num w:numId="42">
    <w:abstractNumId w:val="24"/>
  </w:num>
  <w:num w:numId="43">
    <w:abstractNumId w:val="38"/>
  </w:num>
  <w:num w:numId="44">
    <w:abstractNumId w:val="21"/>
  </w:num>
  <w:num w:numId="45">
    <w:abstractNumId w:val="30"/>
  </w:num>
  <w:num w:numId="46">
    <w:abstractNumId w:val="45"/>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2B"/>
    <w:rsid w:val="000136CA"/>
    <w:rsid w:val="00035A50"/>
    <w:rsid w:val="00037097"/>
    <w:rsid w:val="00046BC9"/>
    <w:rsid w:val="00047667"/>
    <w:rsid w:val="00047C2E"/>
    <w:rsid w:val="00063097"/>
    <w:rsid w:val="0006360A"/>
    <w:rsid w:val="00071C0A"/>
    <w:rsid w:val="00080801"/>
    <w:rsid w:val="000871E9"/>
    <w:rsid w:val="000B1AF9"/>
    <w:rsid w:val="000B3E72"/>
    <w:rsid w:val="000B5B98"/>
    <w:rsid w:val="000C5796"/>
    <w:rsid w:val="000D026C"/>
    <w:rsid w:val="000D226B"/>
    <w:rsid w:val="000F0E7F"/>
    <w:rsid w:val="000F28AE"/>
    <w:rsid w:val="00100874"/>
    <w:rsid w:val="00115A40"/>
    <w:rsid w:val="00127AEB"/>
    <w:rsid w:val="001447EB"/>
    <w:rsid w:val="00150387"/>
    <w:rsid w:val="00151149"/>
    <w:rsid w:val="00157805"/>
    <w:rsid w:val="001633DD"/>
    <w:rsid w:val="0017095B"/>
    <w:rsid w:val="00173EE1"/>
    <w:rsid w:val="00182517"/>
    <w:rsid w:val="00184F80"/>
    <w:rsid w:val="00194213"/>
    <w:rsid w:val="001D2551"/>
    <w:rsid w:val="001D3F6B"/>
    <w:rsid w:val="001D5DB3"/>
    <w:rsid w:val="001E0142"/>
    <w:rsid w:val="001E618D"/>
    <w:rsid w:val="00211853"/>
    <w:rsid w:val="00224FD0"/>
    <w:rsid w:val="00225603"/>
    <w:rsid w:val="00225A43"/>
    <w:rsid w:val="00230295"/>
    <w:rsid w:val="00233F01"/>
    <w:rsid w:val="00237E63"/>
    <w:rsid w:val="00240194"/>
    <w:rsid w:val="00242CE6"/>
    <w:rsid w:val="0025183E"/>
    <w:rsid w:val="00261FEE"/>
    <w:rsid w:val="00262F35"/>
    <w:rsid w:val="00275720"/>
    <w:rsid w:val="002815BB"/>
    <w:rsid w:val="00281FFB"/>
    <w:rsid w:val="002867D3"/>
    <w:rsid w:val="002A563D"/>
    <w:rsid w:val="002D796B"/>
    <w:rsid w:val="002E0934"/>
    <w:rsid w:val="002F24D2"/>
    <w:rsid w:val="00300E91"/>
    <w:rsid w:val="003148B4"/>
    <w:rsid w:val="00317276"/>
    <w:rsid w:val="003178D7"/>
    <w:rsid w:val="00322983"/>
    <w:rsid w:val="00335756"/>
    <w:rsid w:val="00336091"/>
    <w:rsid w:val="0034202F"/>
    <w:rsid w:val="00362380"/>
    <w:rsid w:val="00373001"/>
    <w:rsid w:val="00373243"/>
    <w:rsid w:val="00380F8B"/>
    <w:rsid w:val="00391608"/>
    <w:rsid w:val="00395CD5"/>
    <w:rsid w:val="00397DE9"/>
    <w:rsid w:val="003A2C53"/>
    <w:rsid w:val="003A5811"/>
    <w:rsid w:val="003B65BE"/>
    <w:rsid w:val="003D0F4F"/>
    <w:rsid w:val="003D66F0"/>
    <w:rsid w:val="003E4553"/>
    <w:rsid w:val="003F444F"/>
    <w:rsid w:val="00406A94"/>
    <w:rsid w:val="00410845"/>
    <w:rsid w:val="0041504B"/>
    <w:rsid w:val="00416B4A"/>
    <w:rsid w:val="00420B99"/>
    <w:rsid w:val="00423FCB"/>
    <w:rsid w:val="00430635"/>
    <w:rsid w:val="00433A59"/>
    <w:rsid w:val="00444CC0"/>
    <w:rsid w:val="004454C7"/>
    <w:rsid w:val="00452555"/>
    <w:rsid w:val="004710BC"/>
    <w:rsid w:val="00471C1E"/>
    <w:rsid w:val="00474690"/>
    <w:rsid w:val="004870A0"/>
    <w:rsid w:val="004A2778"/>
    <w:rsid w:val="004B480E"/>
    <w:rsid w:val="004D25C2"/>
    <w:rsid w:val="004D4431"/>
    <w:rsid w:val="004E13F0"/>
    <w:rsid w:val="004E2765"/>
    <w:rsid w:val="004F4508"/>
    <w:rsid w:val="00510A7A"/>
    <w:rsid w:val="005121FE"/>
    <w:rsid w:val="00512511"/>
    <w:rsid w:val="00513503"/>
    <w:rsid w:val="00517C65"/>
    <w:rsid w:val="00523F74"/>
    <w:rsid w:val="00524F2B"/>
    <w:rsid w:val="005319A3"/>
    <w:rsid w:val="00534823"/>
    <w:rsid w:val="0053497E"/>
    <w:rsid w:val="005372D0"/>
    <w:rsid w:val="00541048"/>
    <w:rsid w:val="00541840"/>
    <w:rsid w:val="005426F3"/>
    <w:rsid w:val="00553A1B"/>
    <w:rsid w:val="00554C54"/>
    <w:rsid w:val="00555DF4"/>
    <w:rsid w:val="00555E90"/>
    <w:rsid w:val="005743FA"/>
    <w:rsid w:val="0059153C"/>
    <w:rsid w:val="005A6127"/>
    <w:rsid w:val="005C479E"/>
    <w:rsid w:val="005C6126"/>
    <w:rsid w:val="005C692A"/>
    <w:rsid w:val="005E42A9"/>
    <w:rsid w:val="005F024F"/>
    <w:rsid w:val="005F5296"/>
    <w:rsid w:val="005F5E5B"/>
    <w:rsid w:val="005F769A"/>
    <w:rsid w:val="00601943"/>
    <w:rsid w:val="00606C64"/>
    <w:rsid w:val="006107DE"/>
    <w:rsid w:val="006131A1"/>
    <w:rsid w:val="00631A31"/>
    <w:rsid w:val="0063319C"/>
    <w:rsid w:val="00634886"/>
    <w:rsid w:val="0064099E"/>
    <w:rsid w:val="00666CA3"/>
    <w:rsid w:val="006765DD"/>
    <w:rsid w:val="006A01ED"/>
    <w:rsid w:val="006A14A4"/>
    <w:rsid w:val="006A4174"/>
    <w:rsid w:val="006B63D4"/>
    <w:rsid w:val="006C09F7"/>
    <w:rsid w:val="006C5720"/>
    <w:rsid w:val="006C5FB2"/>
    <w:rsid w:val="006D29DD"/>
    <w:rsid w:val="006D43DF"/>
    <w:rsid w:val="006E0DA3"/>
    <w:rsid w:val="006E2B0F"/>
    <w:rsid w:val="00703589"/>
    <w:rsid w:val="0071251C"/>
    <w:rsid w:val="007160AD"/>
    <w:rsid w:val="00722C9D"/>
    <w:rsid w:val="00727064"/>
    <w:rsid w:val="007331DA"/>
    <w:rsid w:val="007359C4"/>
    <w:rsid w:val="007472EF"/>
    <w:rsid w:val="0075043E"/>
    <w:rsid w:val="00751ABA"/>
    <w:rsid w:val="007531E2"/>
    <w:rsid w:val="00773184"/>
    <w:rsid w:val="00780494"/>
    <w:rsid w:val="0078120F"/>
    <w:rsid w:val="007A34C5"/>
    <w:rsid w:val="007A4C36"/>
    <w:rsid w:val="007C1CA8"/>
    <w:rsid w:val="007C1E62"/>
    <w:rsid w:val="007F1CD2"/>
    <w:rsid w:val="00803B96"/>
    <w:rsid w:val="00812E96"/>
    <w:rsid w:val="00814C5A"/>
    <w:rsid w:val="00820DC3"/>
    <w:rsid w:val="00830D21"/>
    <w:rsid w:val="008654AE"/>
    <w:rsid w:val="00866DEB"/>
    <w:rsid w:val="0086791C"/>
    <w:rsid w:val="00882D23"/>
    <w:rsid w:val="00883B34"/>
    <w:rsid w:val="0089076B"/>
    <w:rsid w:val="00891572"/>
    <w:rsid w:val="008A7DEF"/>
    <w:rsid w:val="008C1CEA"/>
    <w:rsid w:val="008D2417"/>
    <w:rsid w:val="008D3949"/>
    <w:rsid w:val="008D3EAA"/>
    <w:rsid w:val="008E3FC8"/>
    <w:rsid w:val="008F1376"/>
    <w:rsid w:val="008F35D1"/>
    <w:rsid w:val="009004B9"/>
    <w:rsid w:val="0091390A"/>
    <w:rsid w:val="00915398"/>
    <w:rsid w:val="00925130"/>
    <w:rsid w:val="00926033"/>
    <w:rsid w:val="009327F4"/>
    <w:rsid w:val="009369ED"/>
    <w:rsid w:val="00942E15"/>
    <w:rsid w:val="00944672"/>
    <w:rsid w:val="00953D7B"/>
    <w:rsid w:val="009561B0"/>
    <w:rsid w:val="0096771B"/>
    <w:rsid w:val="00970DCF"/>
    <w:rsid w:val="00972728"/>
    <w:rsid w:val="00972AA7"/>
    <w:rsid w:val="00975F6F"/>
    <w:rsid w:val="00981343"/>
    <w:rsid w:val="009B2A23"/>
    <w:rsid w:val="009C4F18"/>
    <w:rsid w:val="009D316C"/>
    <w:rsid w:val="009F4E06"/>
    <w:rsid w:val="00A011D7"/>
    <w:rsid w:val="00A032C4"/>
    <w:rsid w:val="00A07764"/>
    <w:rsid w:val="00A1409C"/>
    <w:rsid w:val="00A14EA4"/>
    <w:rsid w:val="00A21C93"/>
    <w:rsid w:val="00A309E2"/>
    <w:rsid w:val="00A31214"/>
    <w:rsid w:val="00A3354E"/>
    <w:rsid w:val="00A33A45"/>
    <w:rsid w:val="00A44B02"/>
    <w:rsid w:val="00A6046D"/>
    <w:rsid w:val="00A64258"/>
    <w:rsid w:val="00A92700"/>
    <w:rsid w:val="00AC1B6D"/>
    <w:rsid w:val="00AD4A64"/>
    <w:rsid w:val="00AE1156"/>
    <w:rsid w:val="00AE483D"/>
    <w:rsid w:val="00AF4E39"/>
    <w:rsid w:val="00AF76DA"/>
    <w:rsid w:val="00B001EF"/>
    <w:rsid w:val="00B03A4C"/>
    <w:rsid w:val="00B110F3"/>
    <w:rsid w:val="00B211D5"/>
    <w:rsid w:val="00B24792"/>
    <w:rsid w:val="00B34368"/>
    <w:rsid w:val="00B36081"/>
    <w:rsid w:val="00B36C79"/>
    <w:rsid w:val="00B4081C"/>
    <w:rsid w:val="00B528D8"/>
    <w:rsid w:val="00B53A35"/>
    <w:rsid w:val="00B5478C"/>
    <w:rsid w:val="00B740AF"/>
    <w:rsid w:val="00B87191"/>
    <w:rsid w:val="00B925B3"/>
    <w:rsid w:val="00B93515"/>
    <w:rsid w:val="00BB0972"/>
    <w:rsid w:val="00BB2AAD"/>
    <w:rsid w:val="00BD3D98"/>
    <w:rsid w:val="00BE547E"/>
    <w:rsid w:val="00C0186E"/>
    <w:rsid w:val="00C061A3"/>
    <w:rsid w:val="00C07DC6"/>
    <w:rsid w:val="00C10D84"/>
    <w:rsid w:val="00C1164B"/>
    <w:rsid w:val="00C16FD7"/>
    <w:rsid w:val="00C22CC6"/>
    <w:rsid w:val="00C242B4"/>
    <w:rsid w:val="00C26FCF"/>
    <w:rsid w:val="00C473EE"/>
    <w:rsid w:val="00C65F10"/>
    <w:rsid w:val="00C6736C"/>
    <w:rsid w:val="00C70461"/>
    <w:rsid w:val="00C74927"/>
    <w:rsid w:val="00C800AF"/>
    <w:rsid w:val="00C8015C"/>
    <w:rsid w:val="00C84953"/>
    <w:rsid w:val="00C85F25"/>
    <w:rsid w:val="00CA39EC"/>
    <w:rsid w:val="00CB2D70"/>
    <w:rsid w:val="00CB642C"/>
    <w:rsid w:val="00CB788A"/>
    <w:rsid w:val="00CE432B"/>
    <w:rsid w:val="00CF6482"/>
    <w:rsid w:val="00D03946"/>
    <w:rsid w:val="00D03B7B"/>
    <w:rsid w:val="00D074DE"/>
    <w:rsid w:val="00D11F9F"/>
    <w:rsid w:val="00D148E0"/>
    <w:rsid w:val="00D339A7"/>
    <w:rsid w:val="00D40457"/>
    <w:rsid w:val="00D45501"/>
    <w:rsid w:val="00D455FF"/>
    <w:rsid w:val="00D504DA"/>
    <w:rsid w:val="00D52358"/>
    <w:rsid w:val="00D61D9E"/>
    <w:rsid w:val="00D63ACB"/>
    <w:rsid w:val="00D63FED"/>
    <w:rsid w:val="00D75539"/>
    <w:rsid w:val="00D76405"/>
    <w:rsid w:val="00D83DF0"/>
    <w:rsid w:val="00D8644F"/>
    <w:rsid w:val="00D97E56"/>
    <w:rsid w:val="00DA20E0"/>
    <w:rsid w:val="00DA4935"/>
    <w:rsid w:val="00DB5F17"/>
    <w:rsid w:val="00DB6F4D"/>
    <w:rsid w:val="00DC5483"/>
    <w:rsid w:val="00DC60E3"/>
    <w:rsid w:val="00DC688C"/>
    <w:rsid w:val="00DE69BC"/>
    <w:rsid w:val="00DF0069"/>
    <w:rsid w:val="00DF115C"/>
    <w:rsid w:val="00E026D5"/>
    <w:rsid w:val="00E11F8A"/>
    <w:rsid w:val="00E12528"/>
    <w:rsid w:val="00E210B3"/>
    <w:rsid w:val="00E2250B"/>
    <w:rsid w:val="00E23F89"/>
    <w:rsid w:val="00E2431F"/>
    <w:rsid w:val="00E4164E"/>
    <w:rsid w:val="00E43D0A"/>
    <w:rsid w:val="00E44D3D"/>
    <w:rsid w:val="00E45C48"/>
    <w:rsid w:val="00E60B31"/>
    <w:rsid w:val="00E62480"/>
    <w:rsid w:val="00E6293A"/>
    <w:rsid w:val="00E63B41"/>
    <w:rsid w:val="00E660B9"/>
    <w:rsid w:val="00E72657"/>
    <w:rsid w:val="00E86143"/>
    <w:rsid w:val="00E923BC"/>
    <w:rsid w:val="00EA767C"/>
    <w:rsid w:val="00EB614C"/>
    <w:rsid w:val="00EC23C7"/>
    <w:rsid w:val="00ED6C6D"/>
    <w:rsid w:val="00EE303E"/>
    <w:rsid w:val="00EF3794"/>
    <w:rsid w:val="00F03145"/>
    <w:rsid w:val="00F0642A"/>
    <w:rsid w:val="00F36374"/>
    <w:rsid w:val="00F4183A"/>
    <w:rsid w:val="00F41A40"/>
    <w:rsid w:val="00F50DBA"/>
    <w:rsid w:val="00F54397"/>
    <w:rsid w:val="00F715FA"/>
    <w:rsid w:val="00F7638B"/>
    <w:rsid w:val="00F850D1"/>
    <w:rsid w:val="00FA163C"/>
    <w:rsid w:val="00FA3B94"/>
    <w:rsid w:val="00FA3FA1"/>
    <w:rsid w:val="00FA46AB"/>
    <w:rsid w:val="00FB072C"/>
    <w:rsid w:val="00FB0CF8"/>
    <w:rsid w:val="00FB3787"/>
    <w:rsid w:val="00FB3DFD"/>
    <w:rsid w:val="00FB7A72"/>
    <w:rsid w:val="00FC0CBD"/>
    <w:rsid w:val="00FD0388"/>
    <w:rsid w:val="00FD64A3"/>
    <w:rsid w:val="00FE2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D333E-C212-4E60-8BEB-FB284E7E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2B"/>
    <w:rPr>
      <w:rFonts w:ascii="Times New Roman" w:hAnsi="Times New Roman"/>
      <w:sz w:val="24"/>
    </w:rPr>
  </w:style>
  <w:style w:type="paragraph" w:styleId="Heading1">
    <w:name w:val="heading 1"/>
    <w:basedOn w:val="Normal"/>
    <w:next w:val="Normal"/>
    <w:link w:val="Heading1Char"/>
    <w:uiPriority w:val="9"/>
    <w:qFormat/>
    <w:rsid w:val="007C1E62"/>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0B5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2B"/>
    <w:rPr>
      <w:color w:val="0563C1" w:themeColor="hyperlink"/>
      <w:u w:val="single"/>
    </w:rPr>
  </w:style>
  <w:style w:type="paragraph" w:customStyle="1" w:styleId="1">
    <w:name w:val="Нормален1"/>
    <w:rsid w:val="007A34C5"/>
    <w:pPr>
      <w:suppressAutoHyphens/>
      <w:autoSpaceDN w:val="0"/>
      <w:spacing w:line="254" w:lineRule="auto"/>
      <w:textAlignment w:val="baseline"/>
    </w:pPr>
    <w:rPr>
      <w:rFonts w:ascii="Calibri" w:eastAsia="Calibri" w:hAnsi="Calibri" w:cs="Times New Roman"/>
      <w:lang w:val="en-US"/>
    </w:rPr>
  </w:style>
  <w:style w:type="character" w:customStyle="1" w:styleId="10">
    <w:name w:val="Шрифт на абзаца по подразбиране1"/>
    <w:rsid w:val="007A34C5"/>
  </w:style>
  <w:style w:type="paragraph" w:styleId="Header">
    <w:name w:val="header"/>
    <w:basedOn w:val="Normal"/>
    <w:link w:val="HeaderChar"/>
    <w:uiPriority w:val="99"/>
    <w:unhideWhenUsed/>
    <w:rsid w:val="00E60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B31"/>
    <w:rPr>
      <w:rFonts w:ascii="Times New Roman" w:hAnsi="Times New Roman"/>
      <w:sz w:val="24"/>
    </w:rPr>
  </w:style>
  <w:style w:type="paragraph" w:styleId="Footer">
    <w:name w:val="footer"/>
    <w:basedOn w:val="Normal"/>
    <w:link w:val="FooterChar"/>
    <w:uiPriority w:val="99"/>
    <w:unhideWhenUsed/>
    <w:rsid w:val="00E60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B31"/>
    <w:rPr>
      <w:rFonts w:ascii="Times New Roman" w:hAnsi="Times New Roman"/>
      <w:sz w:val="24"/>
    </w:rPr>
  </w:style>
  <w:style w:type="table" w:styleId="TableGrid">
    <w:name w:val="Table Grid"/>
    <w:basedOn w:val="TableNormal"/>
    <w:uiPriority w:val="39"/>
    <w:rsid w:val="00E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3,ПАРАГРАФ,Bullet line"/>
    <w:basedOn w:val="Normal"/>
    <w:link w:val="ListParagraphChar"/>
    <w:uiPriority w:val="34"/>
    <w:qFormat/>
    <w:rsid w:val="00080801"/>
    <w:pPr>
      <w:ind w:left="720"/>
      <w:contextualSpacing/>
    </w:pPr>
  </w:style>
  <w:style w:type="table" w:customStyle="1" w:styleId="TableGrid1">
    <w:name w:val="Table Grid1"/>
    <w:basedOn w:val="TableNormal"/>
    <w:next w:val="TableGrid"/>
    <w:uiPriority w:val="39"/>
    <w:rsid w:val="00CB788A"/>
    <w:pPr>
      <w:widowControl w:val="0"/>
      <w:spacing w:after="0" w:line="240" w:lineRule="auto"/>
    </w:pPr>
    <w:rPr>
      <w:rFonts w:ascii="Microsoft Sans Serif" w:eastAsia="Microsoft Sans Serif" w:hAnsi="Microsoft Sans Serif" w:cs="Microsoft Sans Serif"/>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54AE"/>
    <w:rPr>
      <w:color w:val="605E5C"/>
      <w:shd w:val="clear" w:color="auto" w:fill="E1DFDD"/>
    </w:rPr>
  </w:style>
  <w:style w:type="character" w:customStyle="1" w:styleId="Heading1Char">
    <w:name w:val="Heading 1 Char"/>
    <w:basedOn w:val="DefaultParagraphFont"/>
    <w:link w:val="Heading1"/>
    <w:uiPriority w:val="9"/>
    <w:rsid w:val="007C1E62"/>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830D21"/>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9076B"/>
    <w:pPr>
      <w:tabs>
        <w:tab w:val="left" w:pos="440"/>
        <w:tab w:val="right" w:leader="dot" w:pos="9063"/>
      </w:tabs>
      <w:spacing w:after="100"/>
    </w:pPr>
  </w:style>
  <w:style w:type="paragraph" w:styleId="TOC2">
    <w:name w:val="toc 2"/>
    <w:basedOn w:val="Normal"/>
    <w:next w:val="Normal"/>
    <w:autoRedefine/>
    <w:uiPriority w:val="39"/>
    <w:unhideWhenUsed/>
    <w:rsid w:val="00830D21"/>
    <w:pPr>
      <w:spacing w:after="100"/>
      <w:ind w:left="240"/>
    </w:pPr>
  </w:style>
  <w:style w:type="character" w:styleId="FollowedHyperlink">
    <w:name w:val="FollowedHyperlink"/>
    <w:basedOn w:val="DefaultParagraphFont"/>
    <w:uiPriority w:val="99"/>
    <w:semiHidden/>
    <w:unhideWhenUsed/>
    <w:rsid w:val="006C5FB2"/>
    <w:rPr>
      <w:color w:val="954F72" w:themeColor="followedHyperlink"/>
      <w:u w:val="single"/>
    </w:rPr>
  </w:style>
  <w:style w:type="paragraph" w:styleId="Subtitle">
    <w:name w:val="Subtitle"/>
    <w:basedOn w:val="Normal"/>
    <w:next w:val="Normal"/>
    <w:link w:val="SubtitleChar"/>
    <w:uiPriority w:val="11"/>
    <w:qFormat/>
    <w:rsid w:val="00D339A7"/>
    <w:pPr>
      <w:numPr>
        <w:ilvl w:val="1"/>
      </w:numPr>
    </w:pPr>
    <w:rPr>
      <w:rFonts w:asciiTheme="minorHAnsi" w:eastAsiaTheme="minorEastAsia" w:hAnsiTheme="minorHAnsi"/>
      <w:color w:val="5A5A5A" w:themeColor="text1" w:themeTint="A5"/>
      <w:spacing w:val="15"/>
      <w:sz w:val="22"/>
      <w:lang w:val="en-US"/>
    </w:rPr>
  </w:style>
  <w:style w:type="character" w:customStyle="1" w:styleId="SubtitleChar">
    <w:name w:val="Subtitle Char"/>
    <w:basedOn w:val="DefaultParagraphFont"/>
    <w:link w:val="Subtitle"/>
    <w:uiPriority w:val="11"/>
    <w:rsid w:val="00D339A7"/>
    <w:rPr>
      <w:rFonts w:eastAsiaTheme="minorEastAsia"/>
      <w:color w:val="5A5A5A" w:themeColor="text1" w:themeTint="A5"/>
      <w:spacing w:val="15"/>
      <w:lang w:val="en-US"/>
    </w:rPr>
  </w:style>
  <w:style w:type="paragraph" w:styleId="FootnoteText">
    <w:name w:val="footnote text"/>
    <w:basedOn w:val="Normal"/>
    <w:link w:val="FootnoteTextChar"/>
    <w:uiPriority w:val="99"/>
    <w:semiHidden/>
    <w:unhideWhenUsed/>
    <w:rsid w:val="0091390A"/>
    <w:pPr>
      <w:spacing w:after="0" w:line="240" w:lineRule="auto"/>
    </w:pPr>
    <w:rPr>
      <w:rFonts w:eastAsia="Times New Roman" w:cs="Times New Roman"/>
      <w:sz w:val="20"/>
      <w:szCs w:val="24"/>
      <w:lang w:eastAsia="bg-BG"/>
    </w:rPr>
  </w:style>
  <w:style w:type="character" w:customStyle="1" w:styleId="FootnoteTextChar">
    <w:name w:val="Footnote Text Char"/>
    <w:basedOn w:val="DefaultParagraphFont"/>
    <w:link w:val="FootnoteText"/>
    <w:uiPriority w:val="99"/>
    <w:semiHidden/>
    <w:rsid w:val="0091390A"/>
    <w:rPr>
      <w:rFonts w:ascii="Times New Roman" w:eastAsia="Times New Roman" w:hAnsi="Times New Roman" w:cs="Times New Roman"/>
      <w:sz w:val="20"/>
      <w:szCs w:val="24"/>
      <w:lang w:eastAsia="bg-BG"/>
    </w:rPr>
  </w:style>
  <w:style w:type="character" w:styleId="FootnoteReference">
    <w:name w:val="footnote reference"/>
    <w:semiHidden/>
    <w:unhideWhenUsed/>
    <w:rsid w:val="0091390A"/>
    <w:rPr>
      <w:vertAlign w:val="superscript"/>
    </w:rPr>
  </w:style>
  <w:style w:type="paragraph" w:styleId="NormalWeb">
    <w:name w:val="Normal (Web)"/>
    <w:basedOn w:val="Normal"/>
    <w:uiPriority w:val="99"/>
    <w:unhideWhenUsed/>
    <w:rsid w:val="006A4174"/>
    <w:pPr>
      <w:spacing w:after="0" w:line="240" w:lineRule="auto"/>
    </w:pPr>
    <w:rPr>
      <w:rFonts w:cs="Times New Roman"/>
      <w:szCs w:val="24"/>
      <w:lang w:eastAsia="bg-BG"/>
    </w:rPr>
  </w:style>
  <w:style w:type="character" w:customStyle="1" w:styleId="Heading2Char">
    <w:name w:val="Heading 2 Char"/>
    <w:basedOn w:val="DefaultParagraphFont"/>
    <w:link w:val="Heading2"/>
    <w:uiPriority w:val="9"/>
    <w:semiHidden/>
    <w:rsid w:val="000B5B9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 3 Char,ПАРАГРАФ Char,Bullet line Char"/>
    <w:link w:val="ListParagraph"/>
    <w:uiPriority w:val="34"/>
    <w:locked/>
    <w:rsid w:val="00FC0CBD"/>
    <w:rPr>
      <w:rFonts w:ascii="Times New Roman" w:hAnsi="Times New Roman"/>
      <w:sz w:val="24"/>
    </w:rPr>
  </w:style>
  <w:style w:type="table" w:customStyle="1" w:styleId="TableGrid2">
    <w:name w:val="Table Grid2"/>
    <w:basedOn w:val="TableNormal"/>
    <w:next w:val="TableGrid"/>
    <w:uiPriority w:val="39"/>
    <w:rsid w:val="00555E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
    <w:name w:val="OECD"/>
    <w:basedOn w:val="TableSimple1"/>
    <w:uiPriority w:val="99"/>
    <w:rsid w:val="00C74927"/>
    <w:pPr>
      <w:spacing w:before="10" w:after="20" w:line="200" w:lineRule="exact"/>
      <w:jc w:val="both"/>
    </w:pPr>
    <w:rPr>
      <w:rFonts w:ascii="Arial Narrow" w:hAnsi="Arial Narrow"/>
      <w:sz w:val="17"/>
      <w:szCs w:val="20"/>
      <w:lang w:val="en-US" w:eastAsia="en-GB" w:bidi="he-IL"/>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C749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5244">
      <w:bodyDiv w:val="1"/>
      <w:marLeft w:val="0"/>
      <w:marRight w:val="0"/>
      <w:marTop w:val="0"/>
      <w:marBottom w:val="0"/>
      <w:divBdr>
        <w:top w:val="none" w:sz="0" w:space="0" w:color="auto"/>
        <w:left w:val="none" w:sz="0" w:space="0" w:color="auto"/>
        <w:bottom w:val="none" w:sz="0" w:space="0" w:color="auto"/>
        <w:right w:val="none" w:sz="0" w:space="0" w:color="auto"/>
      </w:divBdr>
    </w:div>
    <w:div w:id="800806085">
      <w:bodyDiv w:val="1"/>
      <w:marLeft w:val="0"/>
      <w:marRight w:val="0"/>
      <w:marTop w:val="0"/>
      <w:marBottom w:val="0"/>
      <w:divBdr>
        <w:top w:val="none" w:sz="0" w:space="0" w:color="auto"/>
        <w:left w:val="none" w:sz="0" w:space="0" w:color="auto"/>
        <w:bottom w:val="none" w:sz="0" w:space="0" w:color="auto"/>
        <w:right w:val="none" w:sz="0" w:space="0" w:color="auto"/>
      </w:divBdr>
      <w:divsChild>
        <w:div w:id="1860044771">
          <w:marLeft w:val="0"/>
          <w:marRight w:val="225"/>
          <w:marTop w:val="0"/>
          <w:marBottom w:val="0"/>
          <w:divBdr>
            <w:top w:val="none" w:sz="0" w:space="0" w:color="auto"/>
            <w:left w:val="none" w:sz="0" w:space="0" w:color="auto"/>
            <w:bottom w:val="none" w:sz="0" w:space="0" w:color="auto"/>
            <w:right w:val="none" w:sz="0" w:space="0" w:color="auto"/>
          </w:divBdr>
        </w:div>
        <w:div w:id="2017344774">
          <w:marLeft w:val="0"/>
          <w:marRight w:val="0"/>
          <w:marTop w:val="0"/>
          <w:marBottom w:val="0"/>
          <w:divBdr>
            <w:top w:val="none" w:sz="0" w:space="0" w:color="auto"/>
            <w:left w:val="none" w:sz="0" w:space="0" w:color="auto"/>
            <w:bottom w:val="none" w:sz="0" w:space="0" w:color="auto"/>
            <w:right w:val="none" w:sz="0" w:space="0" w:color="auto"/>
          </w:divBdr>
          <w:divsChild>
            <w:div w:id="125317553">
              <w:marLeft w:val="0"/>
              <w:marRight w:val="0"/>
              <w:marTop w:val="0"/>
              <w:marBottom w:val="0"/>
              <w:divBdr>
                <w:top w:val="none" w:sz="0" w:space="0" w:color="auto"/>
                <w:left w:val="none" w:sz="0" w:space="0" w:color="auto"/>
                <w:bottom w:val="none" w:sz="0" w:space="0" w:color="auto"/>
                <w:right w:val="none" w:sz="0" w:space="0" w:color="auto"/>
              </w:divBdr>
              <w:divsChild>
                <w:div w:id="751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772">
          <w:marLeft w:val="0"/>
          <w:marRight w:val="225"/>
          <w:marTop w:val="0"/>
          <w:marBottom w:val="0"/>
          <w:divBdr>
            <w:top w:val="none" w:sz="0" w:space="0" w:color="auto"/>
            <w:left w:val="none" w:sz="0" w:space="0" w:color="auto"/>
            <w:bottom w:val="none" w:sz="0" w:space="0" w:color="auto"/>
            <w:right w:val="none" w:sz="0" w:space="0" w:color="auto"/>
          </w:divBdr>
          <w:divsChild>
            <w:div w:id="4112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7548">
      <w:bodyDiv w:val="1"/>
      <w:marLeft w:val="0"/>
      <w:marRight w:val="0"/>
      <w:marTop w:val="0"/>
      <w:marBottom w:val="0"/>
      <w:divBdr>
        <w:top w:val="none" w:sz="0" w:space="0" w:color="auto"/>
        <w:left w:val="none" w:sz="0" w:space="0" w:color="auto"/>
        <w:bottom w:val="none" w:sz="0" w:space="0" w:color="auto"/>
        <w:right w:val="none" w:sz="0" w:space="0" w:color="auto"/>
      </w:divBdr>
      <w:divsChild>
        <w:div w:id="1157646954">
          <w:marLeft w:val="0"/>
          <w:marRight w:val="0"/>
          <w:marTop w:val="0"/>
          <w:marBottom w:val="0"/>
          <w:divBdr>
            <w:top w:val="single" w:sz="2" w:space="0" w:color="E5E7EB"/>
            <w:left w:val="single" w:sz="2" w:space="0" w:color="E5E7EB"/>
            <w:bottom w:val="single" w:sz="2" w:space="0" w:color="E5E7EB"/>
            <w:right w:val="single" w:sz="2" w:space="0" w:color="E5E7EB"/>
          </w:divBdr>
          <w:divsChild>
            <w:div w:id="1954434339">
              <w:marLeft w:val="0"/>
              <w:marRight w:val="0"/>
              <w:marTop w:val="0"/>
              <w:marBottom w:val="0"/>
              <w:divBdr>
                <w:top w:val="single" w:sz="2" w:space="0" w:color="E5E7EB"/>
                <w:left w:val="single" w:sz="2" w:space="0" w:color="E5E7EB"/>
                <w:bottom w:val="single" w:sz="2" w:space="0" w:color="E5E7EB"/>
                <w:right w:val="single" w:sz="2" w:space="0" w:color="E5E7EB"/>
              </w:divBdr>
              <w:divsChild>
                <w:div w:id="1772429819">
                  <w:marLeft w:val="0"/>
                  <w:marRight w:val="0"/>
                  <w:marTop w:val="0"/>
                  <w:marBottom w:val="0"/>
                  <w:divBdr>
                    <w:top w:val="single" w:sz="2" w:space="0" w:color="E5E7EB"/>
                    <w:left w:val="single" w:sz="2" w:space="0" w:color="E5E7EB"/>
                    <w:bottom w:val="single" w:sz="2" w:space="0" w:color="E5E7EB"/>
                    <w:right w:val="single" w:sz="2" w:space="0" w:color="E5E7EB"/>
                  </w:divBdr>
                  <w:divsChild>
                    <w:div w:id="953367222">
                      <w:marLeft w:val="0"/>
                      <w:marRight w:val="0"/>
                      <w:marTop w:val="0"/>
                      <w:marBottom w:val="0"/>
                      <w:divBdr>
                        <w:top w:val="single" w:sz="2" w:space="0" w:color="E5E7EB"/>
                        <w:left w:val="single" w:sz="2" w:space="0" w:color="E5E7EB"/>
                        <w:bottom w:val="single" w:sz="2" w:space="0" w:color="E5E7EB"/>
                        <w:right w:val="single" w:sz="2" w:space="0" w:color="E5E7EB"/>
                      </w:divBdr>
                      <w:divsChild>
                        <w:div w:id="706639555">
                          <w:marLeft w:val="0"/>
                          <w:marRight w:val="0"/>
                          <w:marTop w:val="0"/>
                          <w:marBottom w:val="0"/>
                          <w:divBdr>
                            <w:top w:val="single" w:sz="2" w:space="0" w:color="E5E7EB"/>
                            <w:left w:val="single" w:sz="2" w:space="0" w:color="E5E7EB"/>
                            <w:bottom w:val="single" w:sz="2" w:space="0" w:color="E5E7EB"/>
                            <w:right w:val="single" w:sz="2" w:space="0" w:color="E5E7EB"/>
                          </w:divBdr>
                          <w:divsChild>
                            <w:div w:id="4938415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7016520">
                  <w:marLeft w:val="0"/>
                  <w:marRight w:val="0"/>
                  <w:marTop w:val="0"/>
                  <w:marBottom w:val="0"/>
                  <w:divBdr>
                    <w:top w:val="single" w:sz="2" w:space="0" w:color="E5E7EB"/>
                    <w:left w:val="single" w:sz="2" w:space="0" w:color="E5E7EB"/>
                    <w:bottom w:val="single" w:sz="2" w:space="0" w:color="E5E7EB"/>
                    <w:right w:val="single" w:sz="2" w:space="0" w:color="E5E7EB"/>
                  </w:divBdr>
                  <w:divsChild>
                    <w:div w:id="838619588">
                      <w:marLeft w:val="0"/>
                      <w:marRight w:val="0"/>
                      <w:marTop w:val="0"/>
                      <w:marBottom w:val="0"/>
                      <w:divBdr>
                        <w:top w:val="single" w:sz="2" w:space="0" w:color="E5E7EB"/>
                        <w:left w:val="single" w:sz="2" w:space="0" w:color="E5E7EB"/>
                        <w:bottom w:val="single" w:sz="2" w:space="0" w:color="E5E7EB"/>
                        <w:right w:val="single" w:sz="2" w:space="0" w:color="E5E7EB"/>
                      </w:divBdr>
                    </w:div>
                    <w:div w:id="744259009">
                      <w:marLeft w:val="0"/>
                      <w:marRight w:val="0"/>
                      <w:marTop w:val="0"/>
                      <w:marBottom w:val="0"/>
                      <w:divBdr>
                        <w:top w:val="single" w:sz="2" w:space="0" w:color="E5E7EB"/>
                        <w:left w:val="single" w:sz="2" w:space="0" w:color="E5E7EB"/>
                        <w:bottom w:val="single" w:sz="2" w:space="0" w:color="E5E7EB"/>
                        <w:right w:val="single" w:sz="2" w:space="0" w:color="E5E7EB"/>
                      </w:divBdr>
                      <w:divsChild>
                        <w:div w:id="1226794581">
                          <w:marLeft w:val="0"/>
                          <w:marRight w:val="0"/>
                          <w:marTop w:val="0"/>
                          <w:marBottom w:val="0"/>
                          <w:divBdr>
                            <w:top w:val="single" w:sz="2" w:space="0" w:color="E5E7EB"/>
                            <w:left w:val="single" w:sz="2" w:space="0" w:color="E5E7EB"/>
                            <w:bottom w:val="single" w:sz="2" w:space="0" w:color="E5E7EB"/>
                            <w:right w:val="single" w:sz="2" w:space="0" w:color="E5E7EB"/>
                          </w:divBdr>
                          <w:divsChild>
                            <w:div w:id="286661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41587447">
                          <w:marLeft w:val="0"/>
                          <w:marRight w:val="0"/>
                          <w:marTop w:val="0"/>
                          <w:marBottom w:val="0"/>
                          <w:divBdr>
                            <w:top w:val="single" w:sz="2" w:space="0" w:color="E5E7EB"/>
                            <w:left w:val="single" w:sz="2" w:space="0" w:color="E5E7EB"/>
                            <w:bottom w:val="single" w:sz="2" w:space="0" w:color="E5E7EB"/>
                            <w:right w:val="single" w:sz="2" w:space="0" w:color="E5E7EB"/>
                          </w:divBdr>
                        </w:div>
                        <w:div w:id="1320426348">
                          <w:marLeft w:val="0"/>
                          <w:marRight w:val="0"/>
                          <w:marTop w:val="0"/>
                          <w:marBottom w:val="0"/>
                          <w:divBdr>
                            <w:top w:val="single" w:sz="2" w:space="0" w:color="E5E7EB"/>
                            <w:left w:val="single" w:sz="2" w:space="0" w:color="E5E7EB"/>
                            <w:bottom w:val="single" w:sz="2" w:space="0" w:color="E5E7EB"/>
                            <w:right w:val="single" w:sz="2" w:space="0" w:color="E5E7EB"/>
                          </w:divBdr>
                          <w:divsChild>
                            <w:div w:id="2590309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9775262">
                          <w:marLeft w:val="0"/>
                          <w:marRight w:val="0"/>
                          <w:marTop w:val="0"/>
                          <w:marBottom w:val="0"/>
                          <w:divBdr>
                            <w:top w:val="single" w:sz="2" w:space="0" w:color="E5E7EB"/>
                            <w:left w:val="single" w:sz="2" w:space="0" w:color="E5E7EB"/>
                            <w:bottom w:val="single" w:sz="2" w:space="0" w:color="E5E7EB"/>
                            <w:right w:val="single" w:sz="2" w:space="0" w:color="E5E7EB"/>
                          </w:divBdr>
                        </w:div>
                        <w:div w:id="1582179975">
                          <w:marLeft w:val="0"/>
                          <w:marRight w:val="0"/>
                          <w:marTop w:val="0"/>
                          <w:marBottom w:val="0"/>
                          <w:divBdr>
                            <w:top w:val="single" w:sz="2" w:space="0" w:color="E5E7EB"/>
                            <w:left w:val="single" w:sz="2" w:space="0" w:color="E5E7EB"/>
                            <w:bottom w:val="single" w:sz="2" w:space="0" w:color="E5E7EB"/>
                            <w:right w:val="single" w:sz="2" w:space="0" w:color="E5E7EB"/>
                          </w:divBdr>
                          <w:divsChild>
                            <w:div w:id="10673378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81973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525487806">
          <w:marLeft w:val="0"/>
          <w:marRight w:val="0"/>
          <w:marTop w:val="0"/>
          <w:marBottom w:val="0"/>
          <w:divBdr>
            <w:top w:val="single" w:sz="2" w:space="0" w:color="E5E7EB"/>
            <w:left w:val="single" w:sz="2" w:space="0" w:color="E5E7EB"/>
            <w:bottom w:val="single" w:sz="2" w:space="0" w:color="E5E7EB"/>
            <w:right w:val="single" w:sz="2" w:space="0" w:color="E5E7EB"/>
          </w:divBdr>
          <w:divsChild>
            <w:div w:id="1925995217">
              <w:marLeft w:val="0"/>
              <w:marRight w:val="0"/>
              <w:marTop w:val="0"/>
              <w:marBottom w:val="0"/>
              <w:divBdr>
                <w:top w:val="none" w:sz="0" w:space="0" w:color="auto"/>
                <w:left w:val="none" w:sz="0" w:space="0" w:color="auto"/>
                <w:bottom w:val="none" w:sz="0" w:space="0" w:color="auto"/>
                <w:right w:val="none" w:sz="0" w:space="0" w:color="auto"/>
              </w:divBdr>
              <w:divsChild>
                <w:div w:id="1460149363">
                  <w:marLeft w:val="0"/>
                  <w:marRight w:val="0"/>
                  <w:marTop w:val="0"/>
                  <w:marBottom w:val="0"/>
                  <w:divBdr>
                    <w:top w:val="single" w:sz="2" w:space="0" w:color="E5E7EB"/>
                    <w:left w:val="single" w:sz="2" w:space="0" w:color="E5E7EB"/>
                    <w:bottom w:val="single" w:sz="2" w:space="0" w:color="E5E7EB"/>
                    <w:right w:val="single" w:sz="2" w:space="0" w:color="E5E7EB"/>
                  </w:divBdr>
                  <w:divsChild>
                    <w:div w:id="18633521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4779075">
              <w:marLeft w:val="0"/>
              <w:marRight w:val="0"/>
              <w:marTop w:val="0"/>
              <w:marBottom w:val="0"/>
              <w:divBdr>
                <w:top w:val="single" w:sz="2" w:space="0" w:color="E5E7EB"/>
                <w:left w:val="single" w:sz="2" w:space="0" w:color="E5E7EB"/>
                <w:bottom w:val="single" w:sz="2" w:space="0" w:color="E5E7EB"/>
                <w:right w:val="single" w:sz="2" w:space="0" w:color="E5E7EB"/>
              </w:divBdr>
              <w:divsChild>
                <w:div w:id="1288197891">
                  <w:marLeft w:val="0"/>
                  <w:marRight w:val="0"/>
                  <w:marTop w:val="0"/>
                  <w:marBottom w:val="0"/>
                  <w:divBdr>
                    <w:top w:val="none" w:sz="0" w:space="0" w:color="auto"/>
                    <w:left w:val="none" w:sz="0" w:space="0" w:color="auto"/>
                    <w:bottom w:val="none" w:sz="0" w:space="0" w:color="auto"/>
                    <w:right w:val="none" w:sz="0" w:space="0" w:color="auto"/>
                  </w:divBdr>
                  <w:divsChild>
                    <w:div w:id="1977830585">
                      <w:marLeft w:val="0"/>
                      <w:marRight w:val="0"/>
                      <w:marTop w:val="0"/>
                      <w:marBottom w:val="0"/>
                      <w:divBdr>
                        <w:top w:val="single" w:sz="2" w:space="0" w:color="E5E7EB"/>
                        <w:left w:val="single" w:sz="2" w:space="0" w:color="E5E7EB"/>
                        <w:bottom w:val="single" w:sz="2" w:space="0" w:color="E5E7EB"/>
                        <w:right w:val="single" w:sz="2" w:space="0" w:color="E5E7EB"/>
                      </w:divBdr>
                      <w:divsChild>
                        <w:div w:id="968244807">
                          <w:marLeft w:val="0"/>
                          <w:marRight w:val="0"/>
                          <w:marTop w:val="0"/>
                          <w:marBottom w:val="0"/>
                          <w:divBdr>
                            <w:top w:val="single" w:sz="2" w:space="0" w:color="E5E7EB"/>
                            <w:left w:val="single" w:sz="2" w:space="0" w:color="E5E7EB"/>
                            <w:bottom w:val="single" w:sz="2" w:space="0" w:color="E5E7EB"/>
                            <w:right w:val="single" w:sz="2" w:space="0" w:color="E5E7EB"/>
                          </w:divBdr>
                        </w:div>
                        <w:div w:id="1065881025">
                          <w:marLeft w:val="0"/>
                          <w:marRight w:val="0"/>
                          <w:marTop w:val="0"/>
                          <w:marBottom w:val="0"/>
                          <w:divBdr>
                            <w:top w:val="single" w:sz="2" w:space="0" w:color="E5E7EB"/>
                            <w:left w:val="single" w:sz="2" w:space="0" w:color="E5E7EB"/>
                            <w:bottom w:val="single" w:sz="2" w:space="0" w:color="E5E7EB"/>
                            <w:right w:val="single" w:sz="2" w:space="0" w:color="E5E7EB"/>
                          </w:divBdr>
                        </w:div>
                        <w:div w:id="10015444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66688217">
                      <w:marLeft w:val="0"/>
                      <w:marRight w:val="0"/>
                      <w:marTop w:val="0"/>
                      <w:marBottom w:val="0"/>
                      <w:divBdr>
                        <w:top w:val="single" w:sz="2" w:space="0" w:color="E5E7EB"/>
                        <w:left w:val="single" w:sz="2" w:space="0" w:color="E5E7EB"/>
                        <w:bottom w:val="single" w:sz="2" w:space="0" w:color="E5E7EB"/>
                        <w:right w:val="single" w:sz="2" w:space="0" w:color="E5E7EB"/>
                      </w:divBdr>
                      <w:divsChild>
                        <w:div w:id="20188449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57684633">
                  <w:marLeft w:val="0"/>
                  <w:marRight w:val="0"/>
                  <w:marTop w:val="0"/>
                  <w:marBottom w:val="0"/>
                  <w:divBdr>
                    <w:top w:val="single" w:sz="2" w:space="0" w:color="E5E7EB"/>
                    <w:left w:val="single" w:sz="2" w:space="0" w:color="E5E7EB"/>
                    <w:bottom w:val="single" w:sz="2" w:space="0" w:color="E5E7EB"/>
                    <w:right w:val="single" w:sz="2" w:space="0" w:color="E5E7EB"/>
                  </w:divBdr>
                  <w:divsChild>
                    <w:div w:id="681737943">
                      <w:marLeft w:val="0"/>
                      <w:marRight w:val="0"/>
                      <w:marTop w:val="0"/>
                      <w:marBottom w:val="0"/>
                      <w:divBdr>
                        <w:top w:val="single" w:sz="2" w:space="0" w:color="E5E7EB"/>
                        <w:left w:val="single" w:sz="2" w:space="0" w:color="E5E7EB"/>
                        <w:bottom w:val="single" w:sz="2" w:space="0" w:color="E5E7EB"/>
                        <w:right w:val="single" w:sz="2" w:space="0" w:color="E5E7EB"/>
                      </w:divBdr>
                    </w:div>
                    <w:div w:id="4543731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14911905">
          <w:marLeft w:val="0"/>
          <w:marRight w:val="0"/>
          <w:marTop w:val="0"/>
          <w:marBottom w:val="0"/>
          <w:divBdr>
            <w:top w:val="single" w:sz="2" w:space="0" w:color="E5E7EB"/>
            <w:left w:val="single" w:sz="2" w:space="0" w:color="E5E7EB"/>
            <w:bottom w:val="single" w:sz="2" w:space="0" w:color="E5E7EB"/>
            <w:right w:val="single" w:sz="2" w:space="0" w:color="E5E7EB"/>
          </w:divBdr>
        </w:div>
        <w:div w:id="406194700">
          <w:marLeft w:val="0"/>
          <w:marRight w:val="0"/>
          <w:marTop w:val="0"/>
          <w:marBottom w:val="0"/>
          <w:divBdr>
            <w:top w:val="single" w:sz="2" w:space="0" w:color="E5E7EB"/>
            <w:left w:val="single" w:sz="2" w:space="0" w:color="E5E7EB"/>
            <w:bottom w:val="single" w:sz="2" w:space="0" w:color="E5E7EB"/>
            <w:right w:val="single" w:sz="2" w:space="0" w:color="E5E7EB"/>
          </w:divBdr>
          <w:divsChild>
            <w:div w:id="1245800686">
              <w:marLeft w:val="225"/>
              <w:marRight w:val="225"/>
              <w:marTop w:val="225"/>
              <w:marBottom w:val="225"/>
              <w:divBdr>
                <w:top w:val="single" w:sz="2" w:space="0" w:color="E5E7EB"/>
                <w:left w:val="single" w:sz="2" w:space="0" w:color="E5E7EB"/>
                <w:bottom w:val="single" w:sz="2" w:space="0" w:color="E5E7EB"/>
                <w:right w:val="single" w:sz="2" w:space="0" w:color="E5E7EB"/>
              </w:divBdr>
            </w:div>
          </w:divsChild>
        </w:div>
      </w:divsChild>
    </w:div>
    <w:div w:id="1885287324">
      <w:bodyDiv w:val="1"/>
      <w:marLeft w:val="0"/>
      <w:marRight w:val="0"/>
      <w:marTop w:val="0"/>
      <w:marBottom w:val="0"/>
      <w:divBdr>
        <w:top w:val="none" w:sz="0" w:space="0" w:color="auto"/>
        <w:left w:val="none" w:sz="0" w:space="0" w:color="auto"/>
        <w:bottom w:val="none" w:sz="0" w:space="0" w:color="auto"/>
        <w:right w:val="none" w:sz="0" w:space="0" w:color="auto"/>
      </w:divBdr>
      <w:divsChild>
        <w:div w:id="75316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tats.oecd.org/" TargetMode="External"/><Relationship Id="rId18" Type="http://schemas.openxmlformats.org/officeDocument/2006/relationships/hyperlink" Target="https://eur-lex.europa.eu/legal-content/en/TXT/?uri=CELEX%3A52021DC0118" TargetMode="External"/><Relationship Id="rId26" Type="http://schemas.openxmlformats.org/officeDocument/2006/relationships/hyperlink" Target="https://eur-lex.europa.eu/legal-content/EN/TXT/?uri=CELEX%3A02017R1128-20170630" TargetMode="External"/><Relationship Id="rId3" Type="http://schemas.openxmlformats.org/officeDocument/2006/relationships/styles" Target="styles.xml"/><Relationship Id="rId21" Type="http://schemas.openxmlformats.org/officeDocument/2006/relationships/hyperlink" Target="https://eur-lex.europa.eu/legal-content/EN/TXT/?uri=CELEX%3A31995L004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gital-strategy.ec.europa.eu/bg/library/2023-report-state-digital-decade" TargetMode="External"/><Relationship Id="rId17" Type="http://schemas.openxmlformats.org/officeDocument/2006/relationships/hyperlink" Target="https://eur-lex.europa.eu/legal-content/en/TXT/?uri=CELEX%3A52020DC0067" TargetMode="External"/><Relationship Id="rId25" Type="http://schemas.openxmlformats.org/officeDocument/2006/relationships/hyperlink" Target="https://eur-lex.europa.eu/legal-content/EN/TXT/?uri=celex:32018R0302" TargetMode="External"/><Relationship Id="rId33" Type="http://schemas.openxmlformats.org/officeDocument/2006/relationships/hyperlink" Target="https://www.strategy.bg/PublicConsultations/View.aspx?lang=bg-BG&amp;Id=8094" TargetMode="External"/><Relationship Id="rId2" Type="http://schemas.openxmlformats.org/officeDocument/2006/relationships/numbering" Target="numbering.xml"/><Relationship Id="rId16" Type="http://schemas.openxmlformats.org/officeDocument/2006/relationships/hyperlink" Target="https://eur-lex.europa.eu/legal-content/EN/TXT/?uri=celex%3A52015DC0192" TargetMode="External"/><Relationship Id="rId20" Type="http://schemas.openxmlformats.org/officeDocument/2006/relationships/hyperlink" Target="https://eur-lex.europa.eu/legal-content/EN/TXT/?uri=celex%3A32009L0136" TargetMode="External"/><Relationship Id="rId29" Type="http://schemas.openxmlformats.org/officeDocument/2006/relationships/hyperlink" Target="https://eur-lex.europa.eu/legal-content/EN/TXT/?qid=1561563110433&amp;uri=CELEX:32019L1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trategy.ec.europa.eu/bg/library/country-reports-digital-decad%20e-report-2023" TargetMode="External"/><Relationship Id="rId24" Type="http://schemas.openxmlformats.org/officeDocument/2006/relationships/hyperlink" Target="https://eur-lex.europa.eu/legal-content/en/TXT/?uri=CELEX:32018R1971" TargetMode="External"/><Relationship Id="rId32" Type="http://schemas.openxmlformats.org/officeDocument/2006/relationships/hyperlink" Target="https://eur-lex.europa.eu/legal-content/BG/TXT/PDF/?uri=CELEX:32022D2481" TargetMode="External"/><Relationship Id="rId5" Type="http://schemas.openxmlformats.org/officeDocument/2006/relationships/webSettings" Target="webSettings.xml"/><Relationship Id="rId15" Type="http://schemas.openxmlformats.org/officeDocument/2006/relationships/hyperlink" Target="https://eur-lex.europa.eu/legal-content/en/ALL/?uri=CELEX%3A52010DC0245" TargetMode="External"/><Relationship Id="rId23" Type="http://schemas.openxmlformats.org/officeDocument/2006/relationships/hyperlink" Target="https://eur-lex.europa.eu/legal-content/EN/TXT/?uri=CELEX%3A02016L0680-20160504" TargetMode="External"/><Relationship Id="rId28" Type="http://schemas.openxmlformats.org/officeDocument/2006/relationships/hyperlink" Target="https://eur-lex.europa.eu/eli/reg/2019/881/oj" TargetMode="External"/><Relationship Id="rId36" Type="http://schemas.openxmlformats.org/officeDocument/2006/relationships/theme" Target="theme/theme1.xml"/><Relationship Id="rId10" Type="http://schemas.openxmlformats.org/officeDocument/2006/relationships/hyperlink" Target="https://digital-strategy.ec.europa.eu/bg/library/country-reports-digital-decad%20e-report-2023" TargetMode="External"/><Relationship Id="rId19" Type="http://schemas.openxmlformats.org/officeDocument/2006/relationships/hyperlink" Target="https://eur-lex.europa.eu/eli/reg/2022/612" TargetMode="External"/><Relationship Id="rId31" Type="http://schemas.openxmlformats.org/officeDocument/2006/relationships/hyperlink" Target="https://www.mtc.government.bg/bg/category/85" TargetMode="External"/><Relationship Id="rId4" Type="http://schemas.openxmlformats.org/officeDocument/2006/relationships/settings" Target="settings.xml"/><Relationship Id="rId9" Type="http://schemas.openxmlformats.org/officeDocument/2006/relationships/hyperlink" Target="https://digital-strategy.ec.europa.eu/bg/library/2023-report-state-digital-decade" TargetMode="External"/><Relationship Id="rId14" Type="http://schemas.openxmlformats.org/officeDocument/2006/relationships/hyperlink" Target="https://ec.europa.eu/eurostat/data/database" TargetMode="External"/><Relationship Id="rId22" Type="http://schemas.openxmlformats.org/officeDocument/2006/relationships/hyperlink" Target="https://eur-lex.europa.eu/legal-content/EN/TXT/?uri=CELEX%3A02016R0679-20160504" TargetMode="External"/><Relationship Id="rId27" Type="http://schemas.openxmlformats.org/officeDocument/2006/relationships/hyperlink" Target="https://eur-lex.europa.eu/eli/reg/2018/1807/oj" TargetMode="External"/><Relationship Id="rId30" Type="http://schemas.openxmlformats.org/officeDocument/2006/relationships/hyperlink" Target="https://egov.government.bg/wps/portal/ministry-meu/strategies-policies/digital.transformation/itis-national-strategic-documents/np-digital-bulgaria-2025"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baseline="0">
                <a:solidFill>
                  <a:srgbClr val="C00000"/>
                </a:solidFill>
                <a:effectLst/>
              </a:rPr>
              <a:t>Изпълнение на мерките от Пътната карта към Национална програма "Цифрова България 2025" </a:t>
            </a:r>
            <a:endParaRPr lang="en-US" sz="1100">
              <a:solidFill>
                <a:srgbClr val="C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09BC-49BE-8F31-13148FE4A884}"/>
              </c:ext>
            </c:extLst>
          </c:dPt>
          <c:dPt>
            <c:idx val="2"/>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3-09BC-49BE-8F31-13148FE4A884}"/>
              </c:ext>
            </c:extLst>
          </c:dPt>
          <c:dPt>
            <c:idx val="3"/>
            <c:invertIfNegative val="0"/>
            <c:bubble3D val="0"/>
            <c:spPr>
              <a:solidFill>
                <a:srgbClr val="FFFF00"/>
              </a:solidFill>
              <a:ln w="0">
                <a:solidFill>
                  <a:schemeClr val="accent2"/>
                </a:solidFill>
              </a:ln>
              <a:effectLst>
                <a:glow>
                  <a:schemeClr val="accent1">
                    <a:alpha val="40000"/>
                  </a:schemeClr>
                </a:glow>
                <a:softEdge rad="0"/>
              </a:effectLst>
            </c:spPr>
            <c:extLst xmlns:c16r2="http://schemas.microsoft.com/office/drawing/2015/06/chart">
              <c:ext xmlns:c16="http://schemas.microsoft.com/office/drawing/2014/chart" uri="{C3380CC4-5D6E-409C-BE32-E72D297353CC}">
                <c16:uniqueId val="{00000005-09BC-49BE-8F31-13148FE4A884}"/>
              </c:ext>
            </c:extLst>
          </c:dPt>
          <c:dPt>
            <c:idx val="4"/>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7-09BC-49BE-8F31-13148FE4A884}"/>
              </c:ext>
            </c:extLst>
          </c:dPt>
          <c:dPt>
            <c:idx val="5"/>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9-09BC-49BE-8F31-13148FE4A884}"/>
              </c:ext>
            </c:extLst>
          </c:dPt>
          <c:dPt>
            <c:idx val="6"/>
            <c:invertIfNegative val="0"/>
            <c:bubble3D val="0"/>
            <c:spPr>
              <a:solidFill>
                <a:schemeClr val="accent5">
                  <a:lumMod val="60000"/>
                  <a:lumOff val="40000"/>
                </a:schemeClr>
              </a:solidFill>
              <a:ln>
                <a:noFill/>
              </a:ln>
              <a:effectLst/>
            </c:spPr>
            <c:extLst xmlns:c16r2="http://schemas.microsoft.com/office/drawing/2015/06/chart">
              <c:ext xmlns:c16="http://schemas.microsoft.com/office/drawing/2014/chart" uri="{C3380CC4-5D6E-409C-BE32-E72D297353CC}">
                <c16:uniqueId val="{0000000B-09BC-49BE-8F31-13148FE4A8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Общо мерки</c:v>
                </c:pt>
                <c:pt idx="1">
                  <c:v>Изпълнени</c:v>
                </c:pt>
                <c:pt idx="2">
                  <c:v>В процес на изпълнение</c:v>
                </c:pt>
                <c:pt idx="3">
                  <c:v>Удължени срокове</c:v>
                </c:pt>
                <c:pt idx="4">
                  <c:v>Отпаднали</c:v>
                </c:pt>
                <c:pt idx="5">
                  <c:v>Нови</c:v>
                </c:pt>
                <c:pt idx="6">
                  <c:v>С постоянен срок</c:v>
                </c:pt>
              </c:strCache>
            </c:strRef>
          </c:cat>
          <c:val>
            <c:numRef>
              <c:f>Sheet1!$B$2:$B$8</c:f>
              <c:numCache>
                <c:formatCode>General</c:formatCode>
                <c:ptCount val="7"/>
                <c:pt idx="0">
                  <c:v>102</c:v>
                </c:pt>
                <c:pt idx="1">
                  <c:v>50</c:v>
                </c:pt>
                <c:pt idx="2">
                  <c:v>24</c:v>
                </c:pt>
                <c:pt idx="3">
                  <c:v>31</c:v>
                </c:pt>
                <c:pt idx="4">
                  <c:v>9</c:v>
                </c:pt>
                <c:pt idx="5">
                  <c:v>11</c:v>
                </c:pt>
                <c:pt idx="6">
                  <c:v>10</c:v>
                </c:pt>
              </c:numCache>
            </c:numRef>
          </c:val>
          <c:extLst xmlns:c16r2="http://schemas.microsoft.com/office/drawing/2015/06/chart">
            <c:ext xmlns:c16="http://schemas.microsoft.com/office/drawing/2014/chart" uri="{C3380CC4-5D6E-409C-BE32-E72D297353CC}">
              <c16:uniqueId val="{0000000C-09BC-49BE-8F31-13148FE4A884}"/>
            </c:ext>
          </c:extLst>
        </c:ser>
        <c:dLbls>
          <c:dLblPos val="outEnd"/>
          <c:showLegendKey val="0"/>
          <c:showVal val="1"/>
          <c:showCatName val="0"/>
          <c:showSerName val="0"/>
          <c:showPercent val="0"/>
          <c:showBubbleSize val="0"/>
        </c:dLbls>
        <c:gapWidth val="191"/>
        <c:overlap val="-27"/>
        <c:axId val="604752664"/>
        <c:axId val="604753056"/>
      </c:barChart>
      <c:catAx>
        <c:axId val="60475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753056"/>
        <c:crosses val="autoZero"/>
        <c:auto val="1"/>
        <c:lblAlgn val="ctr"/>
        <c:lblOffset val="100"/>
        <c:noMultiLvlLbl val="0"/>
      </c:catAx>
      <c:valAx>
        <c:axId val="60475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752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0FEE-66C6-4EDE-A0CE-FF6D36F1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6165</Words>
  <Characters>35145</Characters>
  <Application>Microsoft Office Word</Application>
  <DocSecurity>0</DocSecurity>
  <Lines>292</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41228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Dimova</dc:creator>
  <cp:keywords/>
  <dc:description/>
  <cp:lastModifiedBy>Microsoft account</cp:lastModifiedBy>
  <cp:revision>2</cp:revision>
  <dcterms:created xsi:type="dcterms:W3CDTF">2024-02-29T09:27:00Z</dcterms:created>
  <dcterms:modified xsi:type="dcterms:W3CDTF">2024-02-29T09:27:00Z</dcterms:modified>
</cp:coreProperties>
</file>