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6CA7F" w14:textId="77E547D3" w:rsidR="00D11A76" w:rsidRDefault="00A36718" w:rsidP="00941FB5">
      <w:pPr>
        <w:spacing w:line="240" w:lineRule="auto"/>
        <w:ind w:left="8496" w:firstLine="708"/>
        <w:jc w:val="both"/>
        <w:rPr>
          <w:b/>
        </w:rPr>
      </w:pPr>
      <w:r>
        <w:rPr>
          <w:b/>
        </w:rPr>
        <w:t>Утвърдил</w:t>
      </w:r>
      <w:r w:rsidR="0009558A" w:rsidRPr="00F84CD8">
        <w:rPr>
          <w:b/>
        </w:rPr>
        <w:t>:</w:t>
      </w:r>
      <w:r w:rsidR="00EE494A">
        <w:rPr>
          <w:b/>
        </w:rPr>
        <w:t xml:space="preserve"> </w:t>
      </w:r>
      <w:r w:rsidR="00C71F44">
        <w:rPr>
          <w:b/>
        </w:rPr>
        <w:t>(подпис)</w:t>
      </w:r>
    </w:p>
    <w:p w14:paraId="79B8A690" w14:textId="2649AE78" w:rsidR="003C5461" w:rsidRDefault="00E725DC" w:rsidP="00E725DC">
      <w:pPr>
        <w:spacing w:line="240" w:lineRule="auto"/>
        <w:ind w:left="8496"/>
        <w:jc w:val="both"/>
      </w:pPr>
      <w:r>
        <w:rPr>
          <w:b/>
        </w:rPr>
        <w:tab/>
      </w:r>
      <w:r>
        <w:rPr>
          <w:b/>
        </w:rPr>
        <w:tab/>
      </w:r>
      <w:r w:rsidR="00563EC4">
        <w:rPr>
          <w:b/>
        </w:rPr>
        <w:t>Александър Йоловски</w:t>
      </w:r>
    </w:p>
    <w:p w14:paraId="4214AF4C" w14:textId="73C5CAA2" w:rsidR="008A0361" w:rsidRDefault="00E725DC" w:rsidP="004F0C34">
      <w:pPr>
        <w:spacing w:line="240" w:lineRule="auto"/>
        <w:ind w:left="849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D11A76" w:rsidRPr="00D11A76">
        <w:rPr>
          <w:i/>
        </w:rPr>
        <w:t>Министър на електронното управление</w:t>
      </w:r>
    </w:p>
    <w:p w14:paraId="06046075" w14:textId="77777777" w:rsidR="00CC0081" w:rsidRPr="004F0C34" w:rsidRDefault="00CC0081" w:rsidP="004F0C34">
      <w:pPr>
        <w:spacing w:line="240" w:lineRule="auto"/>
        <w:ind w:left="8496"/>
        <w:jc w:val="both"/>
      </w:pPr>
    </w:p>
    <w:p w14:paraId="4F4C8A1D" w14:textId="1D708FC0" w:rsidR="008348F2" w:rsidRPr="00D11A76" w:rsidRDefault="00D11A76" w:rsidP="00FF5041">
      <w:pPr>
        <w:spacing w:line="240" w:lineRule="auto"/>
        <w:ind w:left="8496" w:firstLine="708"/>
        <w:jc w:val="both"/>
        <w:rPr>
          <w:b/>
        </w:rPr>
      </w:pPr>
      <w:r w:rsidRPr="00D11A76">
        <w:rPr>
          <w:b/>
        </w:rPr>
        <w:t>Дата:</w:t>
      </w:r>
      <w:r w:rsidR="00C71F44">
        <w:rPr>
          <w:b/>
        </w:rPr>
        <w:t xml:space="preserve"> 31.01.</w:t>
      </w:r>
      <w:r w:rsidR="00563EC4">
        <w:rPr>
          <w:b/>
        </w:rPr>
        <w:t>2024</w:t>
      </w:r>
      <w:r w:rsidR="00EE494A">
        <w:rPr>
          <w:b/>
        </w:rPr>
        <w:t xml:space="preserve"> г.</w:t>
      </w:r>
    </w:p>
    <w:tbl>
      <w:tblPr>
        <w:tblStyle w:val="TableGrid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1"/>
        <w:gridCol w:w="1977"/>
        <w:gridCol w:w="1199"/>
        <w:gridCol w:w="728"/>
        <w:gridCol w:w="1174"/>
        <w:gridCol w:w="893"/>
        <w:gridCol w:w="1418"/>
        <w:gridCol w:w="481"/>
        <w:gridCol w:w="1016"/>
        <w:gridCol w:w="204"/>
        <w:gridCol w:w="1559"/>
        <w:gridCol w:w="1541"/>
        <w:gridCol w:w="1578"/>
      </w:tblGrid>
      <w:tr w:rsidR="00C02205" w14:paraId="3A5BC60E" w14:textId="77777777" w:rsidTr="00456FCB">
        <w:trPr>
          <w:trHeight w:val="425"/>
        </w:trPr>
        <w:tc>
          <w:tcPr>
            <w:tcW w:w="16019" w:type="dxa"/>
            <w:gridSpan w:val="13"/>
            <w:shd w:val="clear" w:color="auto" w:fill="BDD6EE" w:themeFill="accent1" w:themeFillTint="66"/>
          </w:tcPr>
          <w:p w14:paraId="465B5F17" w14:textId="1E6F5F59" w:rsidR="00C02205" w:rsidRDefault="003C2D34" w:rsidP="0050494F">
            <w:pPr>
              <w:spacing w:after="240"/>
              <w:jc w:val="center"/>
              <w:rPr>
                <w:b/>
              </w:rPr>
            </w:pPr>
            <w:r w:rsidRPr="003C2D34">
              <w:rPr>
                <w:b/>
              </w:rPr>
              <w:t xml:space="preserve">АНТИКОРУПЦИОНЕН ПЛАН НА </w:t>
            </w:r>
            <w:r w:rsidR="00D11A76">
              <w:rPr>
                <w:b/>
              </w:rPr>
              <w:t xml:space="preserve">МИНИСТЕРСТВО НА </w:t>
            </w:r>
            <w:r w:rsidR="008348F2">
              <w:rPr>
                <w:b/>
              </w:rPr>
              <w:t>ЕЛЕКТРОННО</w:t>
            </w:r>
            <w:r w:rsidR="00D11A76">
              <w:rPr>
                <w:b/>
              </w:rPr>
              <w:t>ТО</w:t>
            </w:r>
            <w:r w:rsidR="00CC0081">
              <w:rPr>
                <w:b/>
              </w:rPr>
              <w:t xml:space="preserve"> УПРАВЛЕНИЕ</w:t>
            </w:r>
            <w:r w:rsidR="00E27B83">
              <w:rPr>
                <w:b/>
              </w:rPr>
              <w:t xml:space="preserve"> </w:t>
            </w:r>
            <w:r w:rsidR="004F0C34">
              <w:rPr>
                <w:b/>
              </w:rPr>
              <w:t xml:space="preserve"> </w:t>
            </w:r>
            <w:r w:rsidR="00E27B83">
              <w:rPr>
                <w:b/>
              </w:rPr>
              <w:t>И НА ИЗПЪЛНИТЕЛНА АГЕНЦИЯ „ИНФРАСТРУКТУРА НА ЕЛЕКТРОННОТО УПРАВЛЕНИЕ“</w:t>
            </w:r>
            <w:r w:rsidR="008348F2">
              <w:rPr>
                <w:b/>
              </w:rPr>
              <w:t xml:space="preserve">– </w:t>
            </w:r>
            <w:r w:rsidR="00563EC4">
              <w:rPr>
                <w:b/>
              </w:rPr>
              <w:t>2024</w:t>
            </w:r>
            <w:r w:rsidRPr="003C2D34">
              <w:rPr>
                <w:b/>
              </w:rPr>
              <w:t xml:space="preserve"> ГОДИНА</w:t>
            </w:r>
            <w:r w:rsidR="004F0C34">
              <w:rPr>
                <w:b/>
              </w:rPr>
              <w:t xml:space="preserve"> </w:t>
            </w:r>
          </w:p>
        </w:tc>
      </w:tr>
      <w:tr w:rsidR="00C02205" w14:paraId="3FAF1EEA" w14:textId="77777777" w:rsidTr="004F0C34">
        <w:trPr>
          <w:trHeight w:val="547"/>
        </w:trPr>
        <w:tc>
          <w:tcPr>
            <w:tcW w:w="16019" w:type="dxa"/>
            <w:gridSpan w:val="13"/>
            <w:shd w:val="clear" w:color="auto" w:fill="BDD6EE" w:themeFill="accent1" w:themeFillTint="66"/>
          </w:tcPr>
          <w:p w14:paraId="72A1AE78" w14:textId="79961FCC" w:rsidR="009B396A" w:rsidRPr="009B396A" w:rsidRDefault="00563EC4" w:rsidP="00563EC4">
            <w:pPr>
              <w:spacing w:after="240"/>
              <w:jc w:val="center"/>
            </w:pPr>
            <w:r>
              <w:t>Валентин Мундров</w:t>
            </w:r>
            <w:r w:rsidR="00D11A76">
              <w:t xml:space="preserve"> – Заместник-министър</w:t>
            </w:r>
            <w:r w:rsidR="003C2D34">
              <w:t xml:space="preserve"> на </w:t>
            </w:r>
            <w:r w:rsidR="00D11A76">
              <w:t>е</w:t>
            </w:r>
            <w:r w:rsidR="003C2D34">
              <w:t>лектронн</w:t>
            </w:r>
            <w:r w:rsidR="00D11A76">
              <w:t>ото управление</w:t>
            </w:r>
            <w:r w:rsidR="003C2D34">
              <w:t xml:space="preserve"> – лице, отговорно за координацията на антикорупционните мерк</w:t>
            </w:r>
            <w:r w:rsidR="00D11A76">
              <w:t>и, (съгласно Заповед № М</w:t>
            </w:r>
            <w:r w:rsidR="008348F2">
              <w:t>ЕУ-</w:t>
            </w:r>
            <w:r>
              <w:t>21602</w:t>
            </w:r>
            <w:r w:rsidR="008348F2">
              <w:t>/</w:t>
            </w:r>
            <w:r>
              <w:t>22.12</w:t>
            </w:r>
            <w:r w:rsidR="00D11A76">
              <w:t>.2023 г. на министъра на електронното управление</w:t>
            </w:r>
            <w:r w:rsidR="003C2D34">
              <w:t>)</w:t>
            </w:r>
          </w:p>
        </w:tc>
      </w:tr>
      <w:tr w:rsidR="00C02205" w14:paraId="440CE578" w14:textId="77777777" w:rsidTr="00456FCB">
        <w:trPr>
          <w:trHeight w:val="443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3C41D172" w14:textId="487B7034" w:rsidR="009B396A" w:rsidRDefault="00C02205" w:rsidP="0050494F">
            <w:pPr>
              <w:spacing w:after="240"/>
            </w:pPr>
            <w:r>
              <w:t>Корупционен риск – упр</w:t>
            </w:r>
            <w:r w:rsidR="008E44D0">
              <w:t>авление, разпореждане или разхо</w:t>
            </w:r>
            <w:r>
              <w:t>д</w:t>
            </w:r>
            <w:r w:rsidR="008E44D0">
              <w:t>в</w:t>
            </w:r>
            <w:r>
              <w:t>ане на бюджетни средства и активи, вкл. обществени поръчки</w:t>
            </w:r>
          </w:p>
        </w:tc>
      </w:tr>
      <w:tr w:rsidR="00B95CEA" w14:paraId="0E3F23B8" w14:textId="77777777" w:rsidTr="008F274B">
        <w:trPr>
          <w:trHeight w:val="873"/>
        </w:trPr>
        <w:tc>
          <w:tcPr>
            <w:tcW w:w="2251" w:type="dxa"/>
            <w:shd w:val="clear" w:color="auto" w:fill="E2EFD9" w:themeFill="accent6" w:themeFillTint="33"/>
          </w:tcPr>
          <w:p w14:paraId="3DCC0B61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57DD597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61BDD9CF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4B59C12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D53BEAC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20C6AD98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0FE634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14:paraId="3A338A70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14:paraId="6652B6E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257D2C" w14:paraId="17184580" w14:textId="77777777" w:rsidTr="008F274B">
        <w:trPr>
          <w:trHeight w:val="885"/>
        </w:trPr>
        <w:tc>
          <w:tcPr>
            <w:tcW w:w="2251" w:type="dxa"/>
            <w:shd w:val="clear" w:color="auto" w:fill="FFFFFF" w:themeFill="background1"/>
          </w:tcPr>
          <w:p w14:paraId="15F0E2C5" w14:textId="77777777" w:rsidR="00E27B83" w:rsidRDefault="00D93B59" w:rsidP="00E27B83">
            <w:pPr>
              <w:rPr>
                <w:sz w:val="22"/>
              </w:rPr>
            </w:pPr>
            <w:r>
              <w:rPr>
                <w:sz w:val="22"/>
              </w:rPr>
              <w:t xml:space="preserve">Риск </w:t>
            </w:r>
            <w:r w:rsidR="00E16634">
              <w:rPr>
                <w:sz w:val="22"/>
              </w:rPr>
              <w:t>от наличие на непълноти и пропуски във вътрешно</w:t>
            </w:r>
          </w:p>
          <w:p w14:paraId="41333575" w14:textId="6166BE32" w:rsidR="00257D2C" w:rsidRPr="005A572A" w:rsidRDefault="00E16634" w:rsidP="00E27B83">
            <w:pPr>
              <w:rPr>
                <w:sz w:val="22"/>
              </w:rPr>
            </w:pPr>
            <w:r>
              <w:rPr>
                <w:sz w:val="22"/>
              </w:rPr>
              <w:t>ведомстве</w:t>
            </w:r>
            <w:r w:rsidR="00E27B83">
              <w:rPr>
                <w:sz w:val="22"/>
              </w:rPr>
              <w:t>ните актове</w:t>
            </w:r>
            <w:r w:rsidR="00D14C1D">
              <w:rPr>
                <w:sz w:val="22"/>
              </w:rPr>
              <w:t xml:space="preserve"> за</w:t>
            </w:r>
            <w:r>
              <w:rPr>
                <w:sz w:val="22"/>
              </w:rPr>
              <w:t xml:space="preserve"> прилагане на ЗОП и ППЗОП.</w:t>
            </w:r>
          </w:p>
        </w:tc>
        <w:tc>
          <w:tcPr>
            <w:tcW w:w="1977" w:type="dxa"/>
            <w:shd w:val="clear" w:color="auto" w:fill="FFFFFF" w:themeFill="background1"/>
          </w:tcPr>
          <w:p w14:paraId="6496A1B1" w14:textId="26211F94" w:rsidR="00257D2C" w:rsidRPr="005A572A" w:rsidRDefault="00E16634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П</w:t>
            </w:r>
            <w:r w:rsidR="00257D2C">
              <w:rPr>
                <w:sz w:val="22"/>
              </w:rPr>
              <w:t>реглед и актуализиране на Вътрешните правила за управление на</w:t>
            </w:r>
            <w:r w:rsidR="00D14C1D">
              <w:rPr>
                <w:sz w:val="22"/>
              </w:rPr>
              <w:t xml:space="preserve"> цикъла на обществените поръчки</w:t>
            </w:r>
            <w:r w:rsidR="00257D2C">
              <w:rPr>
                <w:sz w:val="22"/>
              </w:rPr>
              <w:t xml:space="preserve"> при установена слабост, при възникнала конкретна необходимост и/или по дадени </w:t>
            </w:r>
            <w:r w:rsidR="00257D2C">
              <w:rPr>
                <w:sz w:val="22"/>
              </w:rPr>
              <w:lastRenderedPageBreak/>
              <w:t>препоръки от външни/вътрешни контролни органи</w:t>
            </w:r>
            <w:r w:rsidR="00D14C1D">
              <w:rPr>
                <w:sz w:val="22"/>
              </w:rPr>
              <w:t>.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14:paraId="01C5FB7D" w14:textId="73FF4966" w:rsidR="00257D2C" w:rsidRPr="005A572A" w:rsidRDefault="00247BED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lastRenderedPageBreak/>
              <w:t>Организационна</w:t>
            </w:r>
          </w:p>
        </w:tc>
        <w:tc>
          <w:tcPr>
            <w:tcW w:w="2067" w:type="dxa"/>
            <w:gridSpan w:val="2"/>
            <w:shd w:val="clear" w:color="auto" w:fill="FFFFFF" w:themeFill="background1"/>
          </w:tcPr>
          <w:p w14:paraId="234DAB60" w14:textId="5FC52F8E" w:rsidR="00247BED" w:rsidRPr="005A572A" w:rsidRDefault="00E16634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Законност и п</w:t>
            </w:r>
            <w:r w:rsidR="00247BED">
              <w:rPr>
                <w:sz w:val="22"/>
              </w:rPr>
              <w:t>розрачност в процеса по възлагане</w:t>
            </w:r>
            <w:r>
              <w:rPr>
                <w:sz w:val="22"/>
              </w:rPr>
              <w:t xml:space="preserve"> и реализиране</w:t>
            </w:r>
            <w:r w:rsidR="00247BED">
              <w:rPr>
                <w:sz w:val="22"/>
              </w:rPr>
              <w:t xml:space="preserve"> на обществените поръчки в МЕУ/ИА ИЕУ, респективно при разходването на бюджетни средства</w:t>
            </w:r>
            <w:r w:rsidR="00D14C1D">
              <w:rPr>
                <w:sz w:val="22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75B447DB" w14:textId="44F3B3E5" w:rsidR="00257D2C" w:rsidRPr="005A572A" w:rsidRDefault="00B92038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31.12.2024</w:t>
            </w:r>
            <w:r w:rsidR="003C5461">
              <w:rPr>
                <w:sz w:val="22"/>
              </w:rPr>
              <w:t xml:space="preserve"> г.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035A66E" w14:textId="4567F708" w:rsidR="00257D2C" w:rsidRPr="005A572A" w:rsidRDefault="00E27B83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Актуализиране на вътрешно ведомствените </w:t>
            </w:r>
            <w:r w:rsidR="000543AE" w:rsidRPr="005A572A">
              <w:rPr>
                <w:sz w:val="22"/>
              </w:rPr>
              <w:t>акт</w:t>
            </w:r>
            <w:r>
              <w:rPr>
                <w:sz w:val="22"/>
              </w:rPr>
              <w:t>ове за управление на цикъла на обществените поръчки</w:t>
            </w:r>
            <w:r w:rsidR="000543AE">
              <w:rPr>
                <w:sz w:val="22"/>
              </w:rPr>
              <w:t xml:space="preserve">, като се гарантира прозрачност и законност при възлагането </w:t>
            </w:r>
            <w:r w:rsidR="00D14C1D">
              <w:rPr>
                <w:sz w:val="22"/>
              </w:rPr>
              <w:t xml:space="preserve">и при </w:t>
            </w:r>
            <w:r w:rsidR="000543AE" w:rsidRPr="005A572A">
              <w:rPr>
                <w:sz w:val="22"/>
              </w:rPr>
              <w:t xml:space="preserve">изпълнението </w:t>
            </w:r>
            <w:r w:rsidR="000543AE" w:rsidRPr="005A572A">
              <w:rPr>
                <w:sz w:val="22"/>
              </w:rPr>
              <w:lastRenderedPageBreak/>
              <w:t>на обществени поръчки</w:t>
            </w:r>
            <w:r w:rsidR="000543AE">
              <w:rPr>
                <w:sz w:val="22"/>
              </w:rPr>
              <w:t xml:space="preserve"> в МЕУ/ИА ИЕУ</w:t>
            </w:r>
            <w:r w:rsidR="000543AE" w:rsidRPr="005A572A">
              <w:rPr>
                <w:sz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498D449B" w14:textId="51091D5A" w:rsidR="005D221F" w:rsidRDefault="003C0372" w:rsidP="0018798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Директор на дирекция „</w:t>
            </w:r>
            <w:r w:rsidR="000543AE">
              <w:rPr>
                <w:sz w:val="22"/>
              </w:rPr>
              <w:t>Правни дейно</w:t>
            </w:r>
            <w:r w:rsidR="009257A6">
              <w:rPr>
                <w:sz w:val="22"/>
              </w:rPr>
              <w:t>сти и обществени поръчки</w:t>
            </w:r>
            <w:r w:rsidR="00482384">
              <w:rPr>
                <w:sz w:val="22"/>
              </w:rPr>
              <w:t>“</w:t>
            </w:r>
            <w:r w:rsidR="005D221F">
              <w:rPr>
                <w:sz w:val="22"/>
              </w:rPr>
              <w:t>/</w:t>
            </w:r>
          </w:p>
          <w:p w14:paraId="7B181CBD" w14:textId="77777777" w:rsidR="005D221F" w:rsidRDefault="005D221F" w:rsidP="00187982">
            <w:pPr>
              <w:rPr>
                <w:sz w:val="22"/>
              </w:rPr>
            </w:pPr>
            <w:r>
              <w:rPr>
                <w:sz w:val="22"/>
              </w:rPr>
              <w:t>началник на отдел „Обществени поръчки“</w:t>
            </w:r>
          </w:p>
          <w:p w14:paraId="7DCB0649" w14:textId="01E76B9B" w:rsidR="009257A6" w:rsidRDefault="009257A6" w:rsidP="00187982">
            <w:pPr>
              <w:rPr>
                <w:sz w:val="22"/>
              </w:rPr>
            </w:pPr>
            <w:r>
              <w:rPr>
                <w:sz w:val="22"/>
              </w:rPr>
              <w:t>(МЕУ)</w:t>
            </w:r>
            <w:r w:rsidR="00A31077">
              <w:rPr>
                <w:sz w:val="22"/>
              </w:rPr>
              <w:t>;</w:t>
            </w:r>
          </w:p>
          <w:p w14:paraId="377C1CB1" w14:textId="77777777" w:rsidR="00482384" w:rsidRDefault="00482384" w:rsidP="00187982">
            <w:pPr>
              <w:rPr>
                <w:sz w:val="22"/>
              </w:rPr>
            </w:pPr>
          </w:p>
          <w:p w14:paraId="4E30B01A" w14:textId="6C75C9C9" w:rsidR="00187982" w:rsidRDefault="00B406E6" w:rsidP="00187982">
            <w:pPr>
              <w:rPr>
                <w:sz w:val="22"/>
              </w:rPr>
            </w:pPr>
            <w:r>
              <w:rPr>
                <w:sz w:val="22"/>
              </w:rPr>
              <w:t xml:space="preserve">Директор на дирекция </w:t>
            </w:r>
            <w:r>
              <w:rPr>
                <w:sz w:val="22"/>
              </w:rPr>
              <w:lastRenderedPageBreak/>
              <w:t>„Административно-правно и финансово обслужване“</w:t>
            </w:r>
          </w:p>
          <w:p w14:paraId="453E85D4" w14:textId="4B029D37" w:rsidR="00257D2C" w:rsidRPr="005A572A" w:rsidRDefault="00B406E6" w:rsidP="0018798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0543AE" w:rsidRPr="00B406E6">
              <w:rPr>
                <w:sz w:val="22"/>
              </w:rPr>
              <w:t>ИА ИЕУ</w:t>
            </w:r>
            <w:r>
              <w:rPr>
                <w:sz w:val="22"/>
              </w:rPr>
              <w:t>)</w:t>
            </w:r>
            <w:r w:rsidR="00A31077">
              <w:rPr>
                <w:sz w:val="22"/>
              </w:rPr>
              <w:t>.</w:t>
            </w:r>
          </w:p>
        </w:tc>
        <w:tc>
          <w:tcPr>
            <w:tcW w:w="1541" w:type="dxa"/>
            <w:shd w:val="clear" w:color="auto" w:fill="FFFFFF" w:themeFill="background1"/>
          </w:tcPr>
          <w:p w14:paraId="0AA0F4E1" w14:textId="77777777" w:rsidR="00257D2C" w:rsidRPr="005A572A" w:rsidRDefault="00257D2C" w:rsidP="0050494F">
            <w:pPr>
              <w:spacing w:after="240"/>
              <w:rPr>
                <w:sz w:val="22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5BDF0D90" w14:textId="77777777" w:rsidR="00257D2C" w:rsidRPr="005A572A" w:rsidRDefault="00257D2C" w:rsidP="0050494F">
            <w:pPr>
              <w:spacing w:after="240"/>
              <w:rPr>
                <w:sz w:val="22"/>
              </w:rPr>
            </w:pPr>
          </w:p>
        </w:tc>
      </w:tr>
      <w:tr w:rsidR="00901DD9" w14:paraId="17396F47" w14:textId="77777777" w:rsidTr="00456FCB">
        <w:trPr>
          <w:trHeight w:val="444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7FD1305D" w14:textId="31D4E177" w:rsidR="00901DD9" w:rsidRPr="00997F5F" w:rsidRDefault="00901DD9" w:rsidP="0050494F">
            <w:pPr>
              <w:spacing w:after="240"/>
            </w:pPr>
            <w:r>
              <w:t>Корупционен риск – извършване на контролни дейности</w:t>
            </w:r>
          </w:p>
        </w:tc>
      </w:tr>
      <w:tr w:rsidR="00B95CEA" w14:paraId="13478A56" w14:textId="77777777" w:rsidTr="008F274B">
        <w:trPr>
          <w:trHeight w:val="873"/>
        </w:trPr>
        <w:tc>
          <w:tcPr>
            <w:tcW w:w="2251" w:type="dxa"/>
            <w:shd w:val="clear" w:color="auto" w:fill="E2EFD9" w:themeFill="accent6" w:themeFillTint="33"/>
          </w:tcPr>
          <w:p w14:paraId="116EA447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5CA0F515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25E716CC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2D6266BA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30BC68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65CB5A5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556ACA1" w14:textId="77777777" w:rsidR="00C02205" w:rsidRPr="005A572A" w:rsidRDefault="00C02205" w:rsidP="0050494F">
            <w:pPr>
              <w:spacing w:after="240"/>
              <w:rPr>
                <w:b/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14:paraId="06503362" w14:textId="77777777" w:rsidR="009257A6" w:rsidRDefault="009257A6" w:rsidP="009257A6">
            <w:pPr>
              <w:rPr>
                <w:sz w:val="22"/>
              </w:rPr>
            </w:pPr>
            <w:r>
              <w:rPr>
                <w:sz w:val="22"/>
              </w:rPr>
              <w:t>Изпълнение/</w:t>
            </w:r>
          </w:p>
          <w:p w14:paraId="29296638" w14:textId="4DCFFD7C" w:rsidR="00C02205" w:rsidRPr="005A572A" w:rsidRDefault="00C02205" w:rsidP="009257A6">
            <w:pPr>
              <w:rPr>
                <w:sz w:val="22"/>
              </w:rPr>
            </w:pPr>
            <w:r w:rsidRPr="005A572A">
              <w:rPr>
                <w:sz w:val="22"/>
              </w:rPr>
              <w:t>неизпълнение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14:paraId="344341F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456FCB" w14:paraId="6823DC25" w14:textId="77777777" w:rsidTr="008F274B">
        <w:trPr>
          <w:trHeight w:val="525"/>
        </w:trPr>
        <w:tc>
          <w:tcPr>
            <w:tcW w:w="2251" w:type="dxa"/>
            <w:shd w:val="clear" w:color="auto" w:fill="auto"/>
          </w:tcPr>
          <w:p w14:paraId="2D34D4F1" w14:textId="407CCFFD" w:rsidR="00146277" w:rsidRPr="005A572A" w:rsidRDefault="00146277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Р</w:t>
            </w:r>
            <w:r w:rsidR="003579F1" w:rsidRPr="005A572A">
              <w:rPr>
                <w:sz w:val="22"/>
              </w:rPr>
              <w:t>иск</w:t>
            </w:r>
            <w:r w:rsidR="0023524E">
              <w:rPr>
                <w:sz w:val="22"/>
              </w:rPr>
              <w:t xml:space="preserve"> от възникване</w:t>
            </w:r>
            <w:r w:rsidRPr="005A572A">
              <w:rPr>
                <w:sz w:val="22"/>
              </w:rPr>
              <w:t xml:space="preserve"> на корупционни практики</w:t>
            </w:r>
            <w:r w:rsidR="00857937" w:rsidRPr="005A572A">
              <w:rPr>
                <w:sz w:val="22"/>
              </w:rPr>
              <w:t xml:space="preserve"> </w:t>
            </w:r>
            <w:r w:rsidRPr="005A572A">
              <w:rPr>
                <w:sz w:val="22"/>
              </w:rPr>
              <w:t xml:space="preserve">при </w:t>
            </w:r>
            <w:r w:rsidR="007D66E4" w:rsidRPr="005A572A">
              <w:rPr>
                <w:sz w:val="22"/>
              </w:rPr>
              <w:t>извършване на проверки</w:t>
            </w:r>
            <w:r w:rsidRPr="005A572A">
              <w:rPr>
                <w:sz w:val="22"/>
              </w:rPr>
              <w:t xml:space="preserve"> по спазване на ЗЕУ, </w:t>
            </w:r>
            <w:r w:rsidR="00482384">
              <w:rPr>
                <w:sz w:val="22"/>
              </w:rPr>
              <w:t>ЗКС,</w:t>
            </w:r>
            <w:r w:rsidR="00B95CEA" w:rsidRPr="005A572A">
              <w:rPr>
                <w:sz w:val="22"/>
              </w:rPr>
              <w:t xml:space="preserve"> ЗДОИ</w:t>
            </w:r>
            <w:r w:rsidR="002E552F">
              <w:rPr>
                <w:sz w:val="22"/>
              </w:rPr>
              <w:t>, ЗДПД</w:t>
            </w:r>
            <w:r w:rsidR="00E27B83">
              <w:rPr>
                <w:sz w:val="22"/>
              </w:rPr>
              <w:t xml:space="preserve"> и</w:t>
            </w:r>
            <w:r w:rsidR="00D14C1D">
              <w:rPr>
                <w:sz w:val="22"/>
              </w:rPr>
              <w:t xml:space="preserve"> </w:t>
            </w:r>
            <w:r w:rsidR="002E552F">
              <w:rPr>
                <w:sz w:val="22"/>
              </w:rPr>
              <w:t>подзаконовите нормативни актове</w:t>
            </w:r>
            <w:r w:rsidR="00482384">
              <w:rPr>
                <w:sz w:val="22"/>
              </w:rPr>
              <w:t xml:space="preserve"> за тяхното прилагане</w:t>
            </w:r>
            <w:r w:rsidR="00E27B83">
              <w:rPr>
                <w:sz w:val="22"/>
              </w:rPr>
              <w:t>.</w:t>
            </w:r>
          </w:p>
        </w:tc>
        <w:tc>
          <w:tcPr>
            <w:tcW w:w="1977" w:type="dxa"/>
          </w:tcPr>
          <w:p w14:paraId="5ED9FFE2" w14:textId="68595138" w:rsidR="00146277" w:rsidRPr="005A572A" w:rsidRDefault="000C3966" w:rsidP="00700123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Осигуряване</w:t>
            </w:r>
            <w:r w:rsidR="00146277" w:rsidRPr="005A572A">
              <w:rPr>
                <w:sz w:val="22"/>
              </w:rPr>
              <w:t xml:space="preserve"> на ротация на служителите с контролни функции при планиране и извършване на планови и изв</w:t>
            </w:r>
            <w:r w:rsidR="00482384">
              <w:rPr>
                <w:sz w:val="22"/>
              </w:rPr>
              <w:t>ънпланови проверки по ЗЕУ, ЗКС,</w:t>
            </w:r>
            <w:r w:rsidR="00146277" w:rsidRPr="005A572A">
              <w:rPr>
                <w:sz w:val="22"/>
              </w:rPr>
              <w:t xml:space="preserve"> ЗДОИ</w:t>
            </w:r>
            <w:r w:rsidR="00176D23">
              <w:rPr>
                <w:sz w:val="22"/>
              </w:rPr>
              <w:t>, ЗДПД</w:t>
            </w:r>
            <w:r w:rsidR="00700123">
              <w:rPr>
                <w:sz w:val="22"/>
              </w:rPr>
              <w:t xml:space="preserve"> и </w:t>
            </w:r>
            <w:r w:rsidR="002E552F">
              <w:rPr>
                <w:sz w:val="22"/>
              </w:rPr>
              <w:t>подзаконовите нормативни актове</w:t>
            </w:r>
            <w:r w:rsidR="00482384">
              <w:rPr>
                <w:sz w:val="22"/>
              </w:rPr>
              <w:t xml:space="preserve"> за тяхното прилагане</w:t>
            </w:r>
            <w:r w:rsidR="00700123">
              <w:rPr>
                <w:sz w:val="22"/>
              </w:rPr>
              <w:t>.</w:t>
            </w:r>
          </w:p>
        </w:tc>
        <w:tc>
          <w:tcPr>
            <w:tcW w:w="1927" w:type="dxa"/>
            <w:gridSpan w:val="2"/>
          </w:tcPr>
          <w:p w14:paraId="6C3A753D" w14:textId="42992326" w:rsidR="00146277" w:rsidRPr="005A572A" w:rsidRDefault="009257A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Организацион</w:t>
            </w:r>
            <w:r w:rsidR="00146277" w:rsidRPr="005A572A">
              <w:rPr>
                <w:sz w:val="22"/>
              </w:rPr>
              <w:t>н</w:t>
            </w:r>
            <w:r>
              <w:rPr>
                <w:sz w:val="22"/>
              </w:rPr>
              <w:t>а</w:t>
            </w:r>
          </w:p>
          <w:p w14:paraId="19B093D5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  <w:p w14:paraId="262410CC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</w:tc>
        <w:tc>
          <w:tcPr>
            <w:tcW w:w="2067" w:type="dxa"/>
            <w:gridSpan w:val="2"/>
          </w:tcPr>
          <w:p w14:paraId="50A52159" w14:textId="44415059" w:rsidR="002E552F" w:rsidRPr="005A572A" w:rsidRDefault="00857937" w:rsidP="00AA099E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Прозрачност при определяне </w:t>
            </w:r>
            <w:r w:rsidR="00146277" w:rsidRPr="005A572A">
              <w:rPr>
                <w:sz w:val="22"/>
              </w:rPr>
              <w:t xml:space="preserve">на екипите за осъществяване на контрол. </w:t>
            </w:r>
          </w:p>
        </w:tc>
        <w:tc>
          <w:tcPr>
            <w:tcW w:w="1418" w:type="dxa"/>
          </w:tcPr>
          <w:p w14:paraId="69FD38DC" w14:textId="2F3240A0" w:rsidR="00146277" w:rsidRPr="005A572A" w:rsidRDefault="00A46878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31.12.2024</w:t>
            </w:r>
            <w:r w:rsidR="004D461D" w:rsidRPr="005A572A">
              <w:rPr>
                <w:sz w:val="22"/>
              </w:rPr>
              <w:t xml:space="preserve"> </w:t>
            </w:r>
            <w:r w:rsidR="00947527" w:rsidRPr="005A572A">
              <w:rPr>
                <w:sz w:val="22"/>
              </w:rPr>
              <w:t>г</w:t>
            </w:r>
            <w:r w:rsidR="007066AA">
              <w:rPr>
                <w:sz w:val="22"/>
              </w:rPr>
              <w:t>.</w:t>
            </w:r>
          </w:p>
        </w:tc>
        <w:tc>
          <w:tcPr>
            <w:tcW w:w="1701" w:type="dxa"/>
            <w:gridSpan w:val="3"/>
          </w:tcPr>
          <w:p w14:paraId="65912C39" w14:textId="70862279" w:rsidR="009C029C" w:rsidRDefault="00700123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Издадени </w:t>
            </w:r>
            <w:r w:rsidR="005D221F">
              <w:rPr>
                <w:sz w:val="22"/>
              </w:rPr>
              <w:t>заповеди за проверки, с които се</w:t>
            </w:r>
            <w:r>
              <w:rPr>
                <w:sz w:val="22"/>
              </w:rPr>
              <w:t xml:space="preserve"> о</w:t>
            </w:r>
            <w:r w:rsidR="005D221F">
              <w:rPr>
                <w:sz w:val="22"/>
              </w:rPr>
              <w:t>сигурява</w:t>
            </w:r>
            <w:r w:rsidR="000C3966" w:rsidRPr="00112CB2">
              <w:rPr>
                <w:sz w:val="22"/>
              </w:rPr>
              <w:t xml:space="preserve"> ротация на служителите при планиране и извършване на проверки</w:t>
            </w:r>
            <w:r w:rsidR="009C029C">
              <w:rPr>
                <w:sz w:val="22"/>
              </w:rPr>
              <w:t>те.</w:t>
            </w:r>
          </w:p>
          <w:p w14:paraId="6BBE5653" w14:textId="729FEA0A" w:rsidR="00146277" w:rsidRPr="00112CB2" w:rsidRDefault="009C029C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Доклади с резултати от извършени проверки от вътрешни и външни контролни органи.</w:t>
            </w:r>
          </w:p>
          <w:p w14:paraId="327B2E7C" w14:textId="7E4454B4" w:rsidR="002E552F" w:rsidRPr="005A572A" w:rsidRDefault="002E552F" w:rsidP="0050494F">
            <w:pPr>
              <w:spacing w:after="240"/>
              <w:rPr>
                <w:sz w:val="22"/>
              </w:rPr>
            </w:pPr>
          </w:p>
        </w:tc>
        <w:tc>
          <w:tcPr>
            <w:tcW w:w="1559" w:type="dxa"/>
          </w:tcPr>
          <w:p w14:paraId="13D2B81B" w14:textId="77777777" w:rsidR="00146277" w:rsidRDefault="00B406E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lastRenderedPageBreak/>
              <w:t>Директор на дирекция</w:t>
            </w:r>
            <w:r w:rsidR="002E552F">
              <w:rPr>
                <w:sz w:val="22"/>
              </w:rPr>
              <w:t xml:space="preserve"> </w:t>
            </w:r>
            <w:r>
              <w:rPr>
                <w:sz w:val="22"/>
              </w:rPr>
              <w:t>„Политики за електронно управление“</w:t>
            </w:r>
            <w:r w:rsidR="00673A03">
              <w:rPr>
                <w:sz w:val="22"/>
              </w:rPr>
              <w:t xml:space="preserve"> (МЕУ)</w:t>
            </w:r>
            <w:r w:rsidR="002E47E8">
              <w:rPr>
                <w:sz w:val="22"/>
              </w:rPr>
              <w:t>;</w:t>
            </w:r>
          </w:p>
          <w:p w14:paraId="0FD50710" w14:textId="28D63668" w:rsidR="002E47E8" w:rsidRDefault="002E47E8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Директор на дирекция „Системи и компоненти на електронното управление“ (МЕУ);</w:t>
            </w:r>
          </w:p>
          <w:p w14:paraId="3AB3075D" w14:textId="65B7E35B" w:rsidR="002E47E8" w:rsidRPr="005A572A" w:rsidRDefault="002E47E8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Директор на дирекция „Мрежова и информацион</w:t>
            </w:r>
            <w:r>
              <w:rPr>
                <w:sz w:val="22"/>
              </w:rPr>
              <w:lastRenderedPageBreak/>
              <w:t>на сигурност“ (МЕУ)</w:t>
            </w:r>
            <w:r w:rsidR="003C0372">
              <w:rPr>
                <w:sz w:val="22"/>
              </w:rPr>
              <w:t>.</w:t>
            </w:r>
          </w:p>
        </w:tc>
        <w:tc>
          <w:tcPr>
            <w:tcW w:w="1541" w:type="dxa"/>
          </w:tcPr>
          <w:p w14:paraId="012E5D18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</w:tc>
        <w:tc>
          <w:tcPr>
            <w:tcW w:w="1578" w:type="dxa"/>
          </w:tcPr>
          <w:p w14:paraId="6AB6212E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</w:tc>
      </w:tr>
      <w:tr w:rsidR="0035673B" w14:paraId="696E18D6" w14:textId="77777777" w:rsidTr="008F274B">
        <w:trPr>
          <w:trHeight w:val="708"/>
        </w:trPr>
        <w:tc>
          <w:tcPr>
            <w:tcW w:w="2251" w:type="dxa"/>
            <w:shd w:val="clear" w:color="auto" w:fill="auto"/>
          </w:tcPr>
          <w:p w14:paraId="6000B77B" w14:textId="0D5A7801" w:rsidR="0035673B" w:rsidRPr="005A572A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 xml:space="preserve">Риск от бездействие при постъпила </w:t>
            </w:r>
            <w:r w:rsidR="002E47E8">
              <w:rPr>
                <w:sz w:val="22"/>
              </w:rPr>
              <w:t xml:space="preserve">писмена </w:t>
            </w:r>
            <w:r>
              <w:rPr>
                <w:sz w:val="22"/>
              </w:rPr>
              <w:t>информация за корупционни практики и злоупотреба със служебно положение.</w:t>
            </w:r>
          </w:p>
        </w:tc>
        <w:tc>
          <w:tcPr>
            <w:tcW w:w="1977" w:type="dxa"/>
          </w:tcPr>
          <w:p w14:paraId="168BD369" w14:textId="5A99F5D8" w:rsidR="0035673B" w:rsidRPr="005A572A" w:rsidRDefault="00275E9A" w:rsidP="007540E2">
            <w:pPr>
              <w:rPr>
                <w:sz w:val="22"/>
              </w:rPr>
            </w:pPr>
            <w:r>
              <w:rPr>
                <w:sz w:val="22"/>
              </w:rPr>
              <w:t>Подаване на информация до и</w:t>
            </w:r>
            <w:r w:rsidR="0035673B">
              <w:rPr>
                <w:sz w:val="22"/>
              </w:rPr>
              <w:t>нспектората на МЕУ за постъпил/и сигнал/и, съдържащи твърд</w:t>
            </w:r>
            <w:r w:rsidR="007540E2">
              <w:rPr>
                <w:sz w:val="22"/>
              </w:rPr>
              <w:t xml:space="preserve">ения за корупционно поведение и/или </w:t>
            </w:r>
            <w:r w:rsidR="0035673B">
              <w:rPr>
                <w:sz w:val="22"/>
              </w:rPr>
              <w:t>конфликт на интереси и предприети действия по тях</w:t>
            </w:r>
            <w:r w:rsidR="003C0372">
              <w:rPr>
                <w:sz w:val="22"/>
              </w:rPr>
              <w:t>.</w:t>
            </w:r>
          </w:p>
        </w:tc>
        <w:tc>
          <w:tcPr>
            <w:tcW w:w="1927" w:type="dxa"/>
            <w:gridSpan w:val="2"/>
          </w:tcPr>
          <w:p w14:paraId="0D3A21F0" w14:textId="2BAFF6D1" w:rsidR="0050494F" w:rsidRDefault="009257A6" w:rsidP="007540E2">
            <w:pPr>
              <w:rPr>
                <w:sz w:val="22"/>
              </w:rPr>
            </w:pPr>
            <w:r>
              <w:rPr>
                <w:sz w:val="22"/>
              </w:rPr>
              <w:t>Организацион</w:t>
            </w:r>
            <w:r w:rsidR="0035673B">
              <w:rPr>
                <w:sz w:val="22"/>
              </w:rPr>
              <w:t>н</w:t>
            </w:r>
            <w:r>
              <w:rPr>
                <w:sz w:val="22"/>
              </w:rPr>
              <w:t>а</w:t>
            </w:r>
          </w:p>
          <w:p w14:paraId="611ADB33" w14:textId="77777777" w:rsidR="0050494F" w:rsidRPr="0050494F" w:rsidRDefault="0050494F" w:rsidP="007540E2">
            <w:pPr>
              <w:rPr>
                <w:sz w:val="22"/>
              </w:rPr>
            </w:pPr>
          </w:p>
          <w:p w14:paraId="765E3A47" w14:textId="77777777" w:rsidR="0050494F" w:rsidRPr="0050494F" w:rsidRDefault="0050494F" w:rsidP="007540E2">
            <w:pPr>
              <w:rPr>
                <w:sz w:val="22"/>
              </w:rPr>
            </w:pPr>
          </w:p>
          <w:p w14:paraId="4606DB74" w14:textId="17EEB519" w:rsidR="0050494F" w:rsidRDefault="0050494F" w:rsidP="007540E2">
            <w:pPr>
              <w:rPr>
                <w:sz w:val="22"/>
              </w:rPr>
            </w:pPr>
          </w:p>
          <w:p w14:paraId="3BA64AF0" w14:textId="75959E45" w:rsidR="0050494F" w:rsidRDefault="0050494F" w:rsidP="007540E2">
            <w:pPr>
              <w:rPr>
                <w:sz w:val="22"/>
              </w:rPr>
            </w:pPr>
          </w:p>
          <w:p w14:paraId="07E5A90B" w14:textId="77777777" w:rsidR="0035673B" w:rsidRPr="0050494F" w:rsidRDefault="0035673B" w:rsidP="007540E2">
            <w:pPr>
              <w:ind w:firstLine="708"/>
              <w:rPr>
                <w:sz w:val="22"/>
              </w:rPr>
            </w:pPr>
          </w:p>
        </w:tc>
        <w:tc>
          <w:tcPr>
            <w:tcW w:w="2067" w:type="dxa"/>
            <w:gridSpan w:val="2"/>
          </w:tcPr>
          <w:p w14:paraId="0A34AFE9" w14:textId="5F794CDD" w:rsidR="0035673B" w:rsidRPr="005A572A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Предприемане на съ</w:t>
            </w:r>
            <w:r w:rsidR="00275E9A">
              <w:rPr>
                <w:sz w:val="22"/>
              </w:rPr>
              <w:t>ответни и своевременни действия</w:t>
            </w:r>
            <w:r>
              <w:rPr>
                <w:sz w:val="22"/>
              </w:rPr>
              <w:t xml:space="preserve">, при постъпили </w:t>
            </w:r>
            <w:r w:rsidR="002E47E8">
              <w:rPr>
                <w:sz w:val="22"/>
              </w:rPr>
              <w:t xml:space="preserve">писмени </w:t>
            </w:r>
            <w:r>
              <w:rPr>
                <w:sz w:val="22"/>
              </w:rPr>
              <w:t>сигнали, съдържащи твърдения за корупция и/или конфликт на интереси</w:t>
            </w:r>
            <w:r w:rsidR="003C0372">
              <w:rPr>
                <w:sz w:val="22"/>
              </w:rPr>
              <w:t>.</w:t>
            </w:r>
          </w:p>
        </w:tc>
        <w:tc>
          <w:tcPr>
            <w:tcW w:w="1418" w:type="dxa"/>
          </w:tcPr>
          <w:p w14:paraId="224D2835" w14:textId="4EB69F58" w:rsidR="0035673B" w:rsidRDefault="00A46878" w:rsidP="007540E2">
            <w:pPr>
              <w:rPr>
                <w:sz w:val="22"/>
              </w:rPr>
            </w:pPr>
            <w:r>
              <w:rPr>
                <w:sz w:val="22"/>
              </w:rPr>
              <w:t>31.12.2024</w:t>
            </w:r>
            <w:r w:rsidR="0035673B">
              <w:rPr>
                <w:sz w:val="22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14:paraId="2DAEEBB9" w14:textId="2C26E844" w:rsidR="0035673B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Брой постъпил</w:t>
            </w:r>
            <w:r w:rsidR="00673A03">
              <w:rPr>
                <w:sz w:val="22"/>
              </w:rPr>
              <w:t xml:space="preserve">и </w:t>
            </w:r>
            <w:r w:rsidR="002E47E8">
              <w:rPr>
                <w:sz w:val="22"/>
              </w:rPr>
              <w:t xml:space="preserve">писмени </w:t>
            </w:r>
            <w:r w:rsidR="00673A03">
              <w:rPr>
                <w:sz w:val="22"/>
              </w:rPr>
              <w:t>сигнали и предприети действия;</w:t>
            </w:r>
          </w:p>
          <w:p w14:paraId="050C3354" w14:textId="330032DC" w:rsidR="0035673B" w:rsidRPr="005A572A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Брой постъпили сиг</w:t>
            </w:r>
            <w:r w:rsidR="00275E9A">
              <w:rPr>
                <w:sz w:val="22"/>
              </w:rPr>
              <w:t>нали, препратени незабавно към и</w:t>
            </w:r>
            <w:r>
              <w:rPr>
                <w:sz w:val="22"/>
              </w:rPr>
              <w:t>нспектората на МЕУ за предприемане на последващи действия по компетентност</w:t>
            </w:r>
            <w:r w:rsidR="00673A03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640647B9" w14:textId="77777777" w:rsidR="006F7373" w:rsidRDefault="00275E9A" w:rsidP="007540E2">
            <w:pPr>
              <w:rPr>
                <w:sz w:val="22"/>
              </w:rPr>
            </w:pPr>
            <w:r>
              <w:rPr>
                <w:sz w:val="22"/>
              </w:rPr>
              <w:t>Ръководител на и</w:t>
            </w:r>
            <w:r w:rsidR="000C3966">
              <w:rPr>
                <w:sz w:val="22"/>
              </w:rPr>
              <w:t>нспекторат (МЕУ)</w:t>
            </w:r>
            <w:r w:rsidR="006F7373">
              <w:rPr>
                <w:sz w:val="22"/>
              </w:rPr>
              <w:t>/</w:t>
            </w:r>
          </w:p>
          <w:p w14:paraId="49EC1E08" w14:textId="4B869B9E" w:rsidR="000C3966" w:rsidRDefault="000C3966" w:rsidP="007540E2">
            <w:pPr>
              <w:rPr>
                <w:sz w:val="22"/>
              </w:rPr>
            </w:pPr>
            <w:r>
              <w:rPr>
                <w:sz w:val="22"/>
              </w:rPr>
              <w:t>Главен секретар на МЕУ</w:t>
            </w:r>
            <w:r w:rsidR="003C0372">
              <w:rPr>
                <w:sz w:val="22"/>
              </w:rPr>
              <w:t>;</w:t>
            </w:r>
          </w:p>
          <w:p w14:paraId="49C1B8B8" w14:textId="77777777" w:rsidR="009257A6" w:rsidRDefault="009257A6" w:rsidP="007540E2">
            <w:pPr>
              <w:rPr>
                <w:sz w:val="22"/>
              </w:rPr>
            </w:pPr>
          </w:p>
          <w:p w14:paraId="15C4C236" w14:textId="060CD45E" w:rsidR="000C3966" w:rsidRDefault="000C3966" w:rsidP="007540E2">
            <w:pPr>
              <w:rPr>
                <w:sz w:val="22"/>
              </w:rPr>
            </w:pPr>
            <w:r>
              <w:rPr>
                <w:sz w:val="22"/>
              </w:rPr>
              <w:t>Директори на дирекции в МЕУ</w:t>
            </w:r>
            <w:r w:rsidR="003C0372">
              <w:rPr>
                <w:sz w:val="22"/>
              </w:rPr>
              <w:t>;</w:t>
            </w:r>
          </w:p>
          <w:p w14:paraId="27D854DE" w14:textId="77777777" w:rsidR="009257A6" w:rsidRDefault="009257A6" w:rsidP="007540E2">
            <w:pPr>
              <w:rPr>
                <w:sz w:val="22"/>
              </w:rPr>
            </w:pPr>
          </w:p>
          <w:p w14:paraId="061D0E51" w14:textId="77777777" w:rsidR="009257A6" w:rsidRDefault="0035673B" w:rsidP="000C3966">
            <w:pPr>
              <w:rPr>
                <w:sz w:val="22"/>
              </w:rPr>
            </w:pPr>
            <w:r>
              <w:rPr>
                <w:sz w:val="22"/>
              </w:rPr>
              <w:t>Изпълнителен директор/</w:t>
            </w:r>
          </w:p>
          <w:p w14:paraId="4019C83A" w14:textId="37DE433B" w:rsidR="0035673B" w:rsidRDefault="003C0372" w:rsidP="000C3966">
            <w:pPr>
              <w:rPr>
                <w:sz w:val="22"/>
              </w:rPr>
            </w:pPr>
            <w:r>
              <w:rPr>
                <w:sz w:val="22"/>
              </w:rPr>
              <w:t>Главен секретар</w:t>
            </w:r>
            <w:r w:rsidR="000C3966">
              <w:rPr>
                <w:sz w:val="22"/>
              </w:rPr>
              <w:t xml:space="preserve"> на ИА ИЕУ.</w:t>
            </w:r>
          </w:p>
        </w:tc>
        <w:tc>
          <w:tcPr>
            <w:tcW w:w="1541" w:type="dxa"/>
          </w:tcPr>
          <w:p w14:paraId="38232114" w14:textId="77777777" w:rsidR="0035673B" w:rsidRPr="005A572A" w:rsidRDefault="0035673B" w:rsidP="007540E2">
            <w:pPr>
              <w:rPr>
                <w:sz w:val="22"/>
              </w:rPr>
            </w:pPr>
          </w:p>
        </w:tc>
        <w:tc>
          <w:tcPr>
            <w:tcW w:w="1578" w:type="dxa"/>
          </w:tcPr>
          <w:p w14:paraId="36B8C519" w14:textId="77777777" w:rsidR="0035673B" w:rsidRPr="005A572A" w:rsidRDefault="0035673B" w:rsidP="007540E2">
            <w:pPr>
              <w:rPr>
                <w:sz w:val="22"/>
              </w:rPr>
            </w:pPr>
          </w:p>
        </w:tc>
      </w:tr>
      <w:tr w:rsidR="00901DD9" w14:paraId="0DEAA23C" w14:textId="77777777" w:rsidTr="00930719">
        <w:trPr>
          <w:trHeight w:val="408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42C1551A" w14:textId="1FFAEA0A" w:rsidR="00901DD9" w:rsidRDefault="00901DD9" w:rsidP="0050494F">
            <w:pPr>
              <w:spacing w:after="240"/>
            </w:pPr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B95CEA" w14:paraId="68A30AEF" w14:textId="77777777" w:rsidTr="008F274B">
        <w:trPr>
          <w:trHeight w:val="873"/>
        </w:trPr>
        <w:tc>
          <w:tcPr>
            <w:tcW w:w="2251" w:type="dxa"/>
            <w:shd w:val="clear" w:color="auto" w:fill="E2EFD9" w:themeFill="accent6" w:themeFillTint="33"/>
          </w:tcPr>
          <w:p w14:paraId="7D5E9ED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32000C5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46E68A5F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155748C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08F2A0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1F4CD398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Индикатор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15E41C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14:paraId="780DC3F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14:paraId="432474D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9E4936" w14:paraId="54578F91" w14:textId="77777777" w:rsidTr="008F274B"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0D1" w14:textId="4D5338A0" w:rsidR="009E4936" w:rsidRPr="00286C2B" w:rsidRDefault="005A572A" w:rsidP="0050494F">
            <w:pPr>
              <w:spacing w:after="240"/>
              <w:rPr>
                <w:sz w:val="22"/>
              </w:rPr>
            </w:pPr>
            <w:r w:rsidRPr="00286C2B">
              <w:rPr>
                <w:sz w:val="22"/>
              </w:rPr>
              <w:t>Не е идентифициран корупционен риск.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4A4" w14:textId="40D1AAD2" w:rsidR="009E4936" w:rsidRPr="00286C2B" w:rsidRDefault="0023524E" w:rsidP="0050494F">
            <w:pPr>
              <w:spacing w:after="240"/>
              <w:rPr>
                <w:sz w:val="22"/>
              </w:rPr>
            </w:pPr>
            <w:r w:rsidRPr="00286C2B">
              <w:rPr>
                <w:sz w:val="22"/>
              </w:rPr>
              <w:t>Не се налага въвеждане</w:t>
            </w:r>
            <w:r w:rsidR="0007558C" w:rsidRPr="00286C2B">
              <w:rPr>
                <w:sz w:val="22"/>
              </w:rPr>
              <w:t>то</w:t>
            </w:r>
            <w:r w:rsidRPr="00286C2B">
              <w:rPr>
                <w:sz w:val="22"/>
              </w:rPr>
              <w:t xml:space="preserve"> на мерки.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84F0" w14:textId="4D11E924" w:rsidR="009E4936" w:rsidRPr="00286C2B" w:rsidRDefault="009E4936" w:rsidP="0050494F">
            <w:pPr>
              <w:spacing w:after="240"/>
              <w:rPr>
                <w:sz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177" w14:textId="711EFE62" w:rsidR="009E4936" w:rsidRPr="00286C2B" w:rsidRDefault="009E4936" w:rsidP="0050494F">
            <w:pPr>
              <w:spacing w:after="24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9BF" w14:textId="4E215DF9" w:rsidR="009E4936" w:rsidRPr="00286C2B" w:rsidRDefault="009E4936" w:rsidP="0050494F">
            <w:pPr>
              <w:spacing w:after="240"/>
              <w:rPr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438" w14:textId="0DB0AE74" w:rsidR="009E4936" w:rsidRPr="00286C2B" w:rsidRDefault="009E4936" w:rsidP="0050494F">
            <w:pPr>
              <w:spacing w:after="24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E66" w14:textId="36704FC3" w:rsidR="009E4936" w:rsidRPr="00286C2B" w:rsidRDefault="009E4936" w:rsidP="0050494F">
            <w:pPr>
              <w:spacing w:after="240"/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A1AA" w14:textId="7840FD8F" w:rsidR="009E4936" w:rsidRPr="00286C2B" w:rsidRDefault="009E4936" w:rsidP="0050494F">
            <w:pPr>
              <w:spacing w:after="240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2F4" w14:textId="5CD87D05" w:rsidR="009E4936" w:rsidRPr="00286C2B" w:rsidRDefault="009E4936" w:rsidP="0050494F">
            <w:pPr>
              <w:spacing w:after="240"/>
              <w:rPr>
                <w:sz w:val="22"/>
              </w:rPr>
            </w:pPr>
          </w:p>
        </w:tc>
      </w:tr>
      <w:tr w:rsidR="00901DD9" w14:paraId="2AD77823" w14:textId="77777777" w:rsidTr="00456FCB">
        <w:trPr>
          <w:trHeight w:val="755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3E2BA14A" w14:textId="77777777" w:rsidR="00901DD9" w:rsidRDefault="00901DD9" w:rsidP="0050494F">
            <w:pPr>
              <w:spacing w:after="240"/>
            </w:pPr>
            <w:r>
              <w:lastRenderedPageBreak/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7D66E4" w14:paraId="19DF3AA6" w14:textId="77777777" w:rsidTr="008F274B">
        <w:trPr>
          <w:trHeight w:val="301"/>
        </w:trPr>
        <w:tc>
          <w:tcPr>
            <w:tcW w:w="2251" w:type="dxa"/>
            <w:shd w:val="clear" w:color="auto" w:fill="E2EFD9" w:themeFill="accent6" w:themeFillTint="33"/>
          </w:tcPr>
          <w:p w14:paraId="2728B1E8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5F3DC6E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60057465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4C4F420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7A4B94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256464C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77B28E5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14:paraId="6ADCA3A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14:paraId="2D7FC617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7A4569" w14:paraId="00875413" w14:textId="77777777" w:rsidTr="008F274B">
        <w:trPr>
          <w:trHeight w:val="715"/>
        </w:trPr>
        <w:tc>
          <w:tcPr>
            <w:tcW w:w="2251" w:type="dxa"/>
          </w:tcPr>
          <w:p w14:paraId="23D9A110" w14:textId="3D25DA01" w:rsidR="007A4569" w:rsidRPr="00930719" w:rsidRDefault="005A572A" w:rsidP="0050494F">
            <w:pPr>
              <w:spacing w:after="240"/>
              <w:rPr>
                <w:sz w:val="22"/>
              </w:rPr>
            </w:pPr>
            <w:r w:rsidRPr="00930719">
              <w:rPr>
                <w:sz w:val="22"/>
              </w:rPr>
              <w:t>Не е идентифициран корупционен риск.</w:t>
            </w:r>
          </w:p>
        </w:tc>
        <w:tc>
          <w:tcPr>
            <w:tcW w:w="1977" w:type="dxa"/>
          </w:tcPr>
          <w:p w14:paraId="6F04A379" w14:textId="4343595C" w:rsidR="007A4569" w:rsidRPr="00930719" w:rsidRDefault="0023524E" w:rsidP="0050494F">
            <w:pPr>
              <w:spacing w:after="240"/>
              <w:rPr>
                <w:color w:val="385623" w:themeColor="accent6" w:themeShade="80"/>
                <w:sz w:val="22"/>
              </w:rPr>
            </w:pPr>
            <w:r w:rsidRPr="00930719">
              <w:rPr>
                <w:sz w:val="22"/>
              </w:rPr>
              <w:t>Не се налага въвеждане</w:t>
            </w:r>
            <w:r w:rsidR="0007558C" w:rsidRPr="00930719">
              <w:rPr>
                <w:sz w:val="22"/>
              </w:rPr>
              <w:t>то</w:t>
            </w:r>
            <w:r w:rsidRPr="00930719">
              <w:rPr>
                <w:sz w:val="22"/>
              </w:rPr>
              <w:t xml:space="preserve"> на мерки.</w:t>
            </w:r>
          </w:p>
        </w:tc>
        <w:tc>
          <w:tcPr>
            <w:tcW w:w="1927" w:type="dxa"/>
            <w:gridSpan w:val="2"/>
          </w:tcPr>
          <w:p w14:paraId="20004FCC" w14:textId="59494610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2067" w:type="dxa"/>
            <w:gridSpan w:val="2"/>
          </w:tcPr>
          <w:p w14:paraId="4701FBE2" w14:textId="269911B6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418" w:type="dxa"/>
          </w:tcPr>
          <w:p w14:paraId="3228DE7A" w14:textId="5734FB49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701" w:type="dxa"/>
            <w:gridSpan w:val="3"/>
          </w:tcPr>
          <w:p w14:paraId="64EBABD6" w14:textId="2F93E13F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559" w:type="dxa"/>
          </w:tcPr>
          <w:p w14:paraId="402C0F74" w14:textId="79864862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541" w:type="dxa"/>
          </w:tcPr>
          <w:p w14:paraId="0A44BFC2" w14:textId="1331D35D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578" w:type="dxa"/>
          </w:tcPr>
          <w:p w14:paraId="0A7D35D8" w14:textId="5D72ABB3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</w:tr>
      <w:tr w:rsidR="00901DD9" w14:paraId="3AFF8B3E" w14:textId="77777777" w:rsidTr="00456FCB">
        <w:trPr>
          <w:trHeight w:val="667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62B0FDA5" w14:textId="77777777" w:rsidR="00901DD9" w:rsidRDefault="00901DD9" w:rsidP="0050494F">
            <w:pPr>
              <w:spacing w:after="240"/>
            </w:pPr>
            <w: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A330BC" w14:paraId="63D70CDE" w14:textId="77777777" w:rsidTr="008F274B">
        <w:trPr>
          <w:trHeight w:val="1234"/>
        </w:trPr>
        <w:tc>
          <w:tcPr>
            <w:tcW w:w="2251" w:type="dxa"/>
            <w:shd w:val="clear" w:color="auto" w:fill="E2EFD9" w:themeFill="accent6" w:themeFillTint="33"/>
          </w:tcPr>
          <w:p w14:paraId="788DA8D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6D92CF0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341CABFD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4AFED32A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CF7CC5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39664C5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48C7F2D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14:paraId="3CF7B0B2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14:paraId="05428438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7A4569" w14:paraId="62DD3333" w14:textId="77777777" w:rsidTr="008F274B">
        <w:trPr>
          <w:trHeight w:val="811"/>
        </w:trPr>
        <w:tc>
          <w:tcPr>
            <w:tcW w:w="2251" w:type="dxa"/>
          </w:tcPr>
          <w:p w14:paraId="4C158726" w14:textId="70293FFD" w:rsidR="007A4569" w:rsidRPr="00930719" w:rsidRDefault="005A572A" w:rsidP="0050494F">
            <w:pPr>
              <w:spacing w:after="240"/>
              <w:rPr>
                <w:sz w:val="22"/>
              </w:rPr>
            </w:pPr>
            <w:r w:rsidRPr="00930719">
              <w:rPr>
                <w:sz w:val="22"/>
              </w:rPr>
              <w:t>Не е идентифициран корупционен риск.</w:t>
            </w:r>
          </w:p>
        </w:tc>
        <w:tc>
          <w:tcPr>
            <w:tcW w:w="1977" w:type="dxa"/>
          </w:tcPr>
          <w:p w14:paraId="0EDEE98B" w14:textId="09C7F112" w:rsidR="007A4569" w:rsidRPr="00930719" w:rsidRDefault="0023524E" w:rsidP="0050494F">
            <w:pPr>
              <w:spacing w:after="240"/>
              <w:rPr>
                <w:color w:val="385623" w:themeColor="accent6" w:themeShade="80"/>
                <w:sz w:val="22"/>
              </w:rPr>
            </w:pPr>
            <w:r w:rsidRPr="00930719">
              <w:rPr>
                <w:sz w:val="22"/>
              </w:rPr>
              <w:t>Не се налага въвеждане</w:t>
            </w:r>
            <w:r w:rsidR="0007558C" w:rsidRPr="00930719">
              <w:rPr>
                <w:sz w:val="22"/>
              </w:rPr>
              <w:t>то</w:t>
            </w:r>
            <w:r w:rsidRPr="00930719">
              <w:rPr>
                <w:sz w:val="22"/>
              </w:rPr>
              <w:t xml:space="preserve"> на мерки.</w:t>
            </w:r>
          </w:p>
        </w:tc>
        <w:tc>
          <w:tcPr>
            <w:tcW w:w="1927" w:type="dxa"/>
            <w:gridSpan w:val="2"/>
          </w:tcPr>
          <w:p w14:paraId="087986DB" w14:textId="77777777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2067" w:type="dxa"/>
            <w:gridSpan w:val="2"/>
          </w:tcPr>
          <w:p w14:paraId="393725B3" w14:textId="017443F9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418" w:type="dxa"/>
          </w:tcPr>
          <w:p w14:paraId="13AE08F7" w14:textId="66345A2C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701" w:type="dxa"/>
            <w:gridSpan w:val="3"/>
          </w:tcPr>
          <w:p w14:paraId="36EDB8A2" w14:textId="77777777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559" w:type="dxa"/>
          </w:tcPr>
          <w:p w14:paraId="58D0E7D5" w14:textId="46708893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541" w:type="dxa"/>
          </w:tcPr>
          <w:p w14:paraId="706637A8" w14:textId="1F5CCEA6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578" w:type="dxa"/>
          </w:tcPr>
          <w:p w14:paraId="1C722AB5" w14:textId="071A8494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</w:tr>
      <w:tr w:rsidR="00901DD9" w14:paraId="7A213B76" w14:textId="77777777" w:rsidTr="00456FCB">
        <w:trPr>
          <w:trHeight w:val="525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5B021660" w14:textId="77777777" w:rsidR="00901DD9" w:rsidRDefault="00901DD9" w:rsidP="0050494F">
            <w:pPr>
              <w:spacing w:after="240"/>
            </w:pPr>
            <w:r w:rsidRPr="00B406E6">
              <w:t>Други мерки с оглед специфичните рискове в съответните ведомства</w:t>
            </w:r>
          </w:p>
        </w:tc>
      </w:tr>
      <w:tr w:rsidR="00B95CEA" w14:paraId="2AD30F44" w14:textId="77777777" w:rsidTr="008F274B">
        <w:trPr>
          <w:trHeight w:val="270"/>
        </w:trPr>
        <w:tc>
          <w:tcPr>
            <w:tcW w:w="2251" w:type="dxa"/>
            <w:shd w:val="clear" w:color="auto" w:fill="E2EFD9" w:themeFill="accent6" w:themeFillTint="33"/>
          </w:tcPr>
          <w:p w14:paraId="67F30ED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728DE47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48827B3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Насоченост на мярката – организационен/ кадрови/ промени </w:t>
            </w:r>
            <w:r w:rsidRPr="005A572A">
              <w:rPr>
                <w:sz w:val="22"/>
              </w:rPr>
              <w:lastRenderedPageBreak/>
              <w:t>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50BD48F0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lastRenderedPageBreak/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8A4113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1935C972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F7DD90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14:paraId="59FCC23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14:paraId="50B42A9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33598F" w:rsidRPr="005A60FB" w14:paraId="022A3A97" w14:textId="77777777" w:rsidTr="008F274B">
        <w:trPr>
          <w:trHeight w:val="708"/>
        </w:trPr>
        <w:tc>
          <w:tcPr>
            <w:tcW w:w="2251" w:type="dxa"/>
            <w:tcBorders>
              <w:bottom w:val="single" w:sz="4" w:space="0" w:color="auto"/>
            </w:tcBorders>
          </w:tcPr>
          <w:p w14:paraId="19CCCB72" w14:textId="4C0FFA8B" w:rsidR="0033598F" w:rsidRPr="00286C2B" w:rsidRDefault="00B27377" w:rsidP="0050494F">
            <w:pPr>
              <w:spacing w:after="240"/>
              <w:rPr>
                <w:sz w:val="22"/>
              </w:rPr>
            </w:pPr>
            <w:r w:rsidRPr="00286C2B">
              <w:rPr>
                <w:sz w:val="22"/>
              </w:rPr>
              <w:t>Риск от липса на познания и недостатъчна информираност на служителите относно</w:t>
            </w:r>
            <w:r w:rsidR="007540E2" w:rsidRPr="00286C2B">
              <w:rPr>
                <w:sz w:val="22"/>
              </w:rPr>
              <w:t xml:space="preserve"> мерките за превенция</w:t>
            </w:r>
            <w:r w:rsidRPr="00286C2B">
              <w:rPr>
                <w:sz w:val="22"/>
              </w:rPr>
              <w:t xml:space="preserve"> и противодействие на корупцията</w:t>
            </w:r>
            <w:r w:rsidR="00700123" w:rsidRPr="00286C2B">
              <w:rPr>
                <w:sz w:val="22"/>
              </w:rPr>
              <w:t>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60A58950" w14:textId="15C984B0" w:rsidR="0033598F" w:rsidRPr="00286C2B" w:rsidRDefault="00B27377" w:rsidP="0050494F">
            <w:pPr>
              <w:spacing w:after="240"/>
              <w:rPr>
                <w:sz w:val="22"/>
              </w:rPr>
            </w:pPr>
            <w:r w:rsidRPr="00286C2B">
              <w:rPr>
                <w:rFonts w:cs="Times New Roman"/>
                <w:sz w:val="22"/>
              </w:rPr>
              <w:t>Участие на служители</w:t>
            </w:r>
            <w:r w:rsidR="007540E2" w:rsidRPr="00286C2B">
              <w:rPr>
                <w:rFonts w:cs="Times New Roman"/>
                <w:sz w:val="22"/>
              </w:rPr>
              <w:t xml:space="preserve"> от МЕУ и ИА ИЕУ в обучения и/или </w:t>
            </w:r>
            <w:r w:rsidRPr="00286C2B">
              <w:rPr>
                <w:rFonts w:cs="Times New Roman"/>
                <w:sz w:val="22"/>
              </w:rPr>
              <w:t>семинари с антикорупцион</w:t>
            </w:r>
            <w:r w:rsidR="00275E9A" w:rsidRPr="00286C2B">
              <w:rPr>
                <w:rFonts w:cs="Times New Roman"/>
                <w:sz w:val="22"/>
              </w:rPr>
              <w:t>на насоченост</w:t>
            </w:r>
            <w:r w:rsidRPr="00286C2B">
              <w:rPr>
                <w:rFonts w:cs="Times New Roman"/>
                <w:sz w:val="22"/>
              </w:rPr>
              <w:t xml:space="preserve"> и прилагане на добри практики</w:t>
            </w:r>
            <w:r w:rsidR="005C1055">
              <w:rPr>
                <w:rFonts w:cs="Times New Roman"/>
                <w:sz w:val="22"/>
              </w:rPr>
              <w:t>.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14:paraId="4991A50B" w14:textId="5E99F9AA" w:rsidR="0033598F" w:rsidRPr="00286C2B" w:rsidRDefault="00B27377" w:rsidP="0050494F">
            <w:pPr>
              <w:spacing w:after="240"/>
              <w:rPr>
                <w:sz w:val="22"/>
              </w:rPr>
            </w:pPr>
            <w:r w:rsidRPr="00286C2B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73756ECF" w14:textId="6EF4089C" w:rsidR="0033598F" w:rsidRPr="00286C2B" w:rsidRDefault="00B27377" w:rsidP="0050494F">
            <w:pPr>
              <w:spacing w:after="240"/>
              <w:rPr>
                <w:sz w:val="22"/>
              </w:rPr>
            </w:pPr>
            <w:r w:rsidRPr="00286C2B">
              <w:rPr>
                <w:sz w:val="22"/>
              </w:rPr>
              <w:t>Повишаване на</w:t>
            </w:r>
            <w:r w:rsidR="002E47E8" w:rsidRPr="00286C2B">
              <w:rPr>
                <w:sz w:val="22"/>
              </w:rPr>
              <w:t xml:space="preserve"> знанията и опита на служители</w:t>
            </w:r>
            <w:r w:rsidRPr="00286C2B">
              <w:rPr>
                <w:sz w:val="22"/>
              </w:rPr>
              <w:t xml:space="preserve"> на МЕУ и ИА ИЕУ по отношение на превенцията и противодействието на корупцията</w:t>
            </w:r>
            <w:r w:rsidR="005C1055"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28F6E7" w14:textId="468B0D15" w:rsidR="0033598F" w:rsidRPr="00286C2B" w:rsidRDefault="00121F9F" w:rsidP="0050494F">
            <w:pPr>
              <w:spacing w:after="240"/>
              <w:rPr>
                <w:sz w:val="22"/>
              </w:rPr>
            </w:pPr>
            <w:r w:rsidRPr="00286C2B">
              <w:rPr>
                <w:sz w:val="22"/>
              </w:rPr>
              <w:t xml:space="preserve">31.12.2024 </w:t>
            </w:r>
            <w:r w:rsidR="00B27377" w:rsidRPr="00286C2B">
              <w:rPr>
                <w:sz w:val="22"/>
              </w:rPr>
              <w:t>г.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D94F7EC" w14:textId="22FB3D1D" w:rsidR="0033598F" w:rsidRPr="00286C2B" w:rsidRDefault="00B27377" w:rsidP="0050494F">
            <w:pPr>
              <w:spacing w:after="240"/>
              <w:rPr>
                <w:sz w:val="22"/>
              </w:rPr>
            </w:pPr>
            <w:r w:rsidRPr="00286C2B">
              <w:rPr>
                <w:sz w:val="22"/>
              </w:rPr>
              <w:t>Брой проведени обучения и брой преминали обученията служители на МЕУ и ИА ИЕУ</w:t>
            </w:r>
            <w:r w:rsidR="005C1055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815AC4" w14:textId="7CDB31C0" w:rsidR="0033598F" w:rsidRPr="00286C2B" w:rsidRDefault="00B27377" w:rsidP="0050494F">
            <w:pPr>
              <w:spacing w:after="240"/>
              <w:rPr>
                <w:sz w:val="22"/>
              </w:rPr>
            </w:pPr>
            <w:r w:rsidRPr="00286C2B">
              <w:rPr>
                <w:sz w:val="22"/>
              </w:rPr>
              <w:t>Главния</w:t>
            </w:r>
            <w:r w:rsidR="00275E9A" w:rsidRPr="00286C2B">
              <w:rPr>
                <w:sz w:val="22"/>
              </w:rPr>
              <w:t>т</w:t>
            </w:r>
            <w:r w:rsidRPr="00286C2B">
              <w:rPr>
                <w:sz w:val="22"/>
              </w:rPr>
              <w:t xml:space="preserve"> секретар на МЕУ и всичк</w:t>
            </w:r>
            <w:r w:rsidR="007540E2" w:rsidRPr="00286C2B">
              <w:rPr>
                <w:sz w:val="22"/>
              </w:rPr>
              <w:t xml:space="preserve">и директори на дирекции от </w:t>
            </w:r>
            <w:r w:rsidRPr="00286C2B">
              <w:rPr>
                <w:sz w:val="22"/>
              </w:rPr>
              <w:t>общата и специализирана</w:t>
            </w:r>
            <w:r w:rsidR="009C50A6">
              <w:rPr>
                <w:sz w:val="22"/>
              </w:rPr>
              <w:t>та</w:t>
            </w:r>
            <w:r w:rsidRPr="00286C2B">
              <w:rPr>
                <w:sz w:val="22"/>
              </w:rPr>
              <w:t xml:space="preserve"> администра</w:t>
            </w:r>
            <w:r w:rsidR="007540E2" w:rsidRPr="00286C2B">
              <w:rPr>
                <w:sz w:val="22"/>
              </w:rPr>
              <w:t>-</w:t>
            </w:r>
            <w:r w:rsidRPr="00286C2B">
              <w:rPr>
                <w:sz w:val="22"/>
              </w:rPr>
              <w:t>ция на МЕУ;</w:t>
            </w:r>
          </w:p>
          <w:p w14:paraId="06F80A41" w14:textId="703C3759" w:rsidR="00B27377" w:rsidRPr="00286C2B" w:rsidRDefault="00B27377" w:rsidP="0050494F">
            <w:pPr>
              <w:spacing w:after="240"/>
              <w:rPr>
                <w:sz w:val="22"/>
              </w:rPr>
            </w:pPr>
            <w:r w:rsidRPr="00286C2B">
              <w:rPr>
                <w:sz w:val="22"/>
              </w:rPr>
              <w:t>Изпълнител</w:t>
            </w:r>
            <w:r w:rsidR="007540E2" w:rsidRPr="00286C2B">
              <w:rPr>
                <w:sz w:val="22"/>
              </w:rPr>
              <w:t>-</w:t>
            </w:r>
            <w:r w:rsidRPr="00286C2B">
              <w:rPr>
                <w:sz w:val="22"/>
              </w:rPr>
              <w:t>ния</w:t>
            </w:r>
            <w:r w:rsidR="00275E9A" w:rsidRPr="00286C2B">
              <w:rPr>
                <w:sz w:val="22"/>
              </w:rPr>
              <w:t>т</w:t>
            </w:r>
            <w:r w:rsidR="00D7708E">
              <w:rPr>
                <w:sz w:val="22"/>
              </w:rPr>
              <w:t xml:space="preserve"> директор/ Г</w:t>
            </w:r>
            <w:r w:rsidR="009C50A6">
              <w:rPr>
                <w:sz w:val="22"/>
              </w:rPr>
              <w:t>лавният секретар на ИА ИЕУ</w:t>
            </w:r>
            <w:r w:rsidR="00A31077">
              <w:rPr>
                <w:sz w:val="22"/>
              </w:rPr>
              <w:t>.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4AE1A47" w14:textId="2B6DD57F" w:rsidR="0033598F" w:rsidRPr="00286C2B" w:rsidRDefault="0033598F" w:rsidP="0050494F">
            <w:pPr>
              <w:spacing w:after="240"/>
              <w:rPr>
                <w:sz w:val="22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56331E9C" w14:textId="2CFE1B66" w:rsidR="0033598F" w:rsidRPr="00286C2B" w:rsidRDefault="0033598F" w:rsidP="0050494F">
            <w:pPr>
              <w:spacing w:after="240"/>
              <w:rPr>
                <w:sz w:val="22"/>
              </w:rPr>
            </w:pPr>
          </w:p>
        </w:tc>
      </w:tr>
      <w:tr w:rsidR="00901DD9" w14:paraId="606EAA63" w14:textId="77777777" w:rsidTr="004C2444">
        <w:trPr>
          <w:trHeight w:val="297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6BA97EB4" w14:textId="77777777" w:rsidR="00901DD9" w:rsidRDefault="00901DD9" w:rsidP="0050494F">
            <w:pPr>
              <w:spacing w:after="240"/>
            </w:pPr>
            <w:r>
              <w:t>Мерки за публичност</w:t>
            </w:r>
          </w:p>
        </w:tc>
      </w:tr>
      <w:tr w:rsidR="00947527" w14:paraId="1A7F7A3C" w14:textId="77777777" w:rsidTr="00FC12A6">
        <w:trPr>
          <w:trHeight w:val="557"/>
        </w:trPr>
        <w:tc>
          <w:tcPr>
            <w:tcW w:w="2251" w:type="dxa"/>
            <w:shd w:val="clear" w:color="auto" w:fill="E2EFD9" w:themeFill="accent6" w:themeFillTint="33"/>
          </w:tcPr>
          <w:p w14:paraId="108B807E" w14:textId="77777777" w:rsidR="00C02205" w:rsidRPr="00AC6CE7" w:rsidRDefault="00C02205" w:rsidP="0050494F">
            <w:pPr>
              <w:spacing w:after="240"/>
            </w:pPr>
            <w: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22F11030" w14:textId="20974AF1" w:rsidR="00C02205" w:rsidRDefault="00C02205" w:rsidP="0050494F">
            <w:pPr>
              <w:spacing w:after="240"/>
            </w:pPr>
            <w:r w:rsidRPr="00AC6CE7">
              <w:t>Описание на мярката</w:t>
            </w:r>
          </w:p>
        </w:tc>
        <w:tc>
          <w:tcPr>
            <w:tcW w:w="3101" w:type="dxa"/>
            <w:gridSpan w:val="3"/>
            <w:shd w:val="clear" w:color="auto" w:fill="E2EFD9" w:themeFill="accent6" w:themeFillTint="33"/>
          </w:tcPr>
          <w:p w14:paraId="1506CC5E" w14:textId="77777777" w:rsidR="00C02205" w:rsidRDefault="00C02205" w:rsidP="0050494F">
            <w:pPr>
              <w:spacing w:after="240"/>
            </w:pPr>
            <w:r>
              <w:t>Срок за изпълнение и етапи</w:t>
            </w:r>
          </w:p>
        </w:tc>
        <w:tc>
          <w:tcPr>
            <w:tcW w:w="3808" w:type="dxa"/>
            <w:gridSpan w:val="4"/>
            <w:shd w:val="clear" w:color="auto" w:fill="E2EFD9" w:themeFill="accent6" w:themeFillTint="33"/>
          </w:tcPr>
          <w:p w14:paraId="2C56D261" w14:textId="36CE3A17" w:rsidR="00C02205" w:rsidRDefault="00C02205" w:rsidP="0050494F">
            <w:pPr>
              <w:spacing w:after="240"/>
            </w:pPr>
            <w:r w:rsidRPr="00AC6CE7">
              <w:t>Отговорно лице</w:t>
            </w:r>
          </w:p>
        </w:tc>
        <w:tc>
          <w:tcPr>
            <w:tcW w:w="4882" w:type="dxa"/>
            <w:gridSpan w:val="4"/>
            <w:shd w:val="clear" w:color="auto" w:fill="E2EFD9" w:themeFill="accent6" w:themeFillTint="33"/>
          </w:tcPr>
          <w:p w14:paraId="19D1A3A4" w14:textId="77777777" w:rsidR="00C02205" w:rsidRDefault="00C02205" w:rsidP="0050494F">
            <w:pPr>
              <w:spacing w:after="240"/>
            </w:pPr>
            <w:r>
              <w:t>Причини за неизпълнение</w:t>
            </w:r>
          </w:p>
        </w:tc>
      </w:tr>
      <w:tr w:rsidR="0020377D" w14:paraId="78D56FBB" w14:textId="77777777" w:rsidTr="00286C2B">
        <w:trPr>
          <w:trHeight w:val="3405"/>
        </w:trPr>
        <w:tc>
          <w:tcPr>
            <w:tcW w:w="2251" w:type="dxa"/>
            <w:shd w:val="clear" w:color="auto" w:fill="FFFFFF" w:themeFill="background1"/>
          </w:tcPr>
          <w:p w14:paraId="2781175B" w14:textId="67165868" w:rsidR="00712322" w:rsidRPr="00F7556D" w:rsidRDefault="0020377D" w:rsidP="00286C2B">
            <w:pPr>
              <w:rPr>
                <w:sz w:val="22"/>
              </w:rPr>
            </w:pPr>
            <w:r w:rsidRPr="00F7556D">
              <w:rPr>
                <w:sz w:val="22"/>
              </w:rPr>
              <w:lastRenderedPageBreak/>
              <w:t>Риск от</w:t>
            </w:r>
            <w:r w:rsidR="000C3966">
              <w:rPr>
                <w:sz w:val="22"/>
              </w:rPr>
              <w:t xml:space="preserve"> </w:t>
            </w:r>
            <w:r w:rsidR="00982A25">
              <w:rPr>
                <w:sz w:val="22"/>
              </w:rPr>
              <w:t>п</w:t>
            </w:r>
            <w:r w:rsidR="00982A25" w:rsidRPr="00982A25">
              <w:rPr>
                <w:sz w:val="22"/>
              </w:rPr>
              <w:t>ропуски и несвоевременно актуализиране на публикуваната информация на официалната интернет страница на МЕУ</w:t>
            </w:r>
            <w:r w:rsidR="000C3966">
              <w:rPr>
                <w:sz w:val="22"/>
              </w:rPr>
              <w:t xml:space="preserve"> по отношение на мерките, които се предприемат за превенция на корупцията</w:t>
            </w:r>
            <w:r w:rsidRPr="00F7556D">
              <w:rPr>
                <w:sz w:val="22"/>
              </w:rPr>
              <w:t>.</w:t>
            </w:r>
          </w:p>
        </w:tc>
        <w:tc>
          <w:tcPr>
            <w:tcW w:w="1977" w:type="dxa"/>
            <w:shd w:val="clear" w:color="auto" w:fill="FFFFFF" w:themeFill="background1"/>
          </w:tcPr>
          <w:p w14:paraId="1E69C372" w14:textId="5F4A7734" w:rsidR="0020377D" w:rsidRPr="00F7556D" w:rsidRDefault="0020377D" w:rsidP="00286C2B">
            <w:pPr>
              <w:rPr>
                <w:color w:val="385623" w:themeColor="accent6" w:themeShade="80"/>
                <w:sz w:val="22"/>
              </w:rPr>
            </w:pPr>
            <w:r w:rsidRPr="00F7556D">
              <w:rPr>
                <w:sz w:val="22"/>
              </w:rPr>
              <w:t>Публикуване на данни за</w:t>
            </w:r>
            <w:r w:rsidR="002E552F">
              <w:rPr>
                <w:sz w:val="22"/>
              </w:rPr>
              <w:t xml:space="preserve"> броя на постъпилите в МЕУ</w:t>
            </w:r>
            <w:r w:rsidRPr="00F7556D">
              <w:rPr>
                <w:sz w:val="22"/>
              </w:rPr>
              <w:t xml:space="preserve"> сигнали за корупция и </w:t>
            </w:r>
            <w:r w:rsidR="00275E9A">
              <w:rPr>
                <w:sz w:val="22"/>
              </w:rPr>
              <w:t xml:space="preserve">за </w:t>
            </w:r>
            <w:r w:rsidRPr="00F7556D">
              <w:rPr>
                <w:sz w:val="22"/>
              </w:rPr>
              <w:t>предприети</w:t>
            </w:r>
            <w:r w:rsidR="00275E9A">
              <w:rPr>
                <w:sz w:val="22"/>
              </w:rPr>
              <w:t>те</w:t>
            </w:r>
            <w:r w:rsidRPr="00F7556D">
              <w:rPr>
                <w:sz w:val="22"/>
              </w:rPr>
              <w:t xml:space="preserve"> действия на о</w:t>
            </w:r>
            <w:r w:rsidR="002E552F">
              <w:rPr>
                <w:sz w:val="22"/>
              </w:rPr>
              <w:t>фициалната страница на министерството</w:t>
            </w:r>
            <w:r w:rsidRPr="00F7556D">
              <w:rPr>
                <w:sz w:val="22"/>
              </w:rPr>
              <w:t>, раздел „Антикорупция“</w:t>
            </w:r>
            <w:r w:rsidR="00286C2B">
              <w:rPr>
                <w:sz w:val="22"/>
              </w:rPr>
              <w:t>.</w:t>
            </w:r>
          </w:p>
        </w:tc>
        <w:tc>
          <w:tcPr>
            <w:tcW w:w="3101" w:type="dxa"/>
            <w:gridSpan w:val="3"/>
            <w:shd w:val="clear" w:color="auto" w:fill="FFFFFF" w:themeFill="background1"/>
          </w:tcPr>
          <w:p w14:paraId="04C3EF26" w14:textId="661A2014" w:rsidR="0020377D" w:rsidRPr="00F7556D" w:rsidRDefault="002565DF" w:rsidP="00286C2B">
            <w:pPr>
              <w:rPr>
                <w:sz w:val="22"/>
              </w:rPr>
            </w:pPr>
            <w:r>
              <w:rPr>
                <w:sz w:val="22"/>
              </w:rPr>
              <w:t>31.07.2024</w:t>
            </w:r>
            <w:r w:rsidR="0020377D" w:rsidRPr="00F7556D">
              <w:rPr>
                <w:sz w:val="22"/>
              </w:rPr>
              <w:t xml:space="preserve"> </w:t>
            </w:r>
            <w:r>
              <w:rPr>
                <w:sz w:val="22"/>
              </w:rPr>
              <w:t>г. (за първото полугодие на 2024</w:t>
            </w:r>
            <w:r w:rsidR="005A60FB" w:rsidRPr="00F7556D">
              <w:rPr>
                <w:sz w:val="22"/>
              </w:rPr>
              <w:t xml:space="preserve"> г.)</w:t>
            </w:r>
            <w:r w:rsidR="00A31077">
              <w:rPr>
                <w:sz w:val="22"/>
              </w:rPr>
              <w:t>.</w:t>
            </w:r>
          </w:p>
          <w:p w14:paraId="6BBA2FE3" w14:textId="77777777" w:rsidR="0020377D" w:rsidRPr="00F7556D" w:rsidRDefault="0020377D" w:rsidP="00286C2B">
            <w:pPr>
              <w:rPr>
                <w:sz w:val="22"/>
              </w:rPr>
            </w:pPr>
          </w:p>
          <w:p w14:paraId="5A7BA788" w14:textId="134D8F5D" w:rsidR="0020377D" w:rsidRPr="00F7556D" w:rsidRDefault="002565DF" w:rsidP="00286C2B">
            <w:pPr>
              <w:rPr>
                <w:color w:val="385623" w:themeColor="accent6" w:themeShade="80"/>
                <w:sz w:val="22"/>
              </w:rPr>
            </w:pPr>
            <w:r>
              <w:rPr>
                <w:sz w:val="22"/>
              </w:rPr>
              <w:t>31.01.2025</w:t>
            </w:r>
            <w:r w:rsidR="0020377D" w:rsidRPr="00F7556D">
              <w:rPr>
                <w:sz w:val="22"/>
              </w:rPr>
              <w:t xml:space="preserve"> </w:t>
            </w:r>
            <w:r w:rsidR="00982A25">
              <w:rPr>
                <w:sz w:val="22"/>
              </w:rPr>
              <w:t>г. (за</w:t>
            </w:r>
            <w:r w:rsidR="002E552F">
              <w:rPr>
                <w:sz w:val="22"/>
              </w:rPr>
              <w:t xml:space="preserve"> 20</w:t>
            </w:r>
            <w:r w:rsidR="00FF7483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="0020377D" w:rsidRPr="00F7556D">
              <w:rPr>
                <w:sz w:val="22"/>
              </w:rPr>
              <w:t xml:space="preserve"> г.)</w:t>
            </w:r>
            <w:r w:rsidR="00A31077">
              <w:rPr>
                <w:sz w:val="22"/>
              </w:rPr>
              <w:t>.</w:t>
            </w:r>
          </w:p>
        </w:tc>
        <w:tc>
          <w:tcPr>
            <w:tcW w:w="3808" w:type="dxa"/>
            <w:gridSpan w:val="4"/>
            <w:shd w:val="clear" w:color="auto" w:fill="FFFFFF" w:themeFill="background1"/>
          </w:tcPr>
          <w:p w14:paraId="0253C388" w14:textId="6081A61D" w:rsidR="0020377D" w:rsidRDefault="000C3966" w:rsidP="00286C2B">
            <w:pPr>
              <w:jc w:val="both"/>
              <w:rPr>
                <w:sz w:val="22"/>
              </w:rPr>
            </w:pPr>
            <w:r>
              <w:rPr>
                <w:sz w:val="22"/>
              </w:rPr>
              <w:t>Ръководителят на Инспектората на МЕУ</w:t>
            </w:r>
          </w:p>
          <w:p w14:paraId="54D6F24F" w14:textId="1473E178" w:rsidR="002565DF" w:rsidRPr="00F7556D" w:rsidRDefault="002565DF" w:rsidP="00286C2B">
            <w:pPr>
              <w:jc w:val="both"/>
              <w:rPr>
                <w:color w:val="385623" w:themeColor="accent6" w:themeShade="80"/>
                <w:sz w:val="22"/>
              </w:rPr>
            </w:pPr>
          </w:p>
        </w:tc>
        <w:tc>
          <w:tcPr>
            <w:tcW w:w="4882" w:type="dxa"/>
            <w:gridSpan w:val="4"/>
            <w:shd w:val="clear" w:color="auto" w:fill="FFFFFF" w:themeFill="background1"/>
          </w:tcPr>
          <w:p w14:paraId="31D5F300" w14:textId="050719F8" w:rsidR="0020377D" w:rsidRPr="00D433EF" w:rsidRDefault="0020377D" w:rsidP="00286C2B">
            <w:pPr>
              <w:tabs>
                <w:tab w:val="left" w:pos="3165"/>
              </w:tabs>
            </w:pPr>
          </w:p>
        </w:tc>
      </w:tr>
      <w:tr w:rsidR="00901DD9" w14:paraId="54F1139D" w14:textId="77777777" w:rsidTr="00930719">
        <w:trPr>
          <w:trHeight w:val="386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2F2C637A" w14:textId="7A25E940" w:rsidR="00E725DC" w:rsidRDefault="00901DD9" w:rsidP="0050494F">
            <w:pPr>
              <w:spacing w:after="240"/>
            </w:pPr>
            <w:r>
              <w:t>Обучения</w:t>
            </w:r>
          </w:p>
        </w:tc>
      </w:tr>
      <w:tr w:rsidR="00901DD9" w14:paraId="216B16DE" w14:textId="77777777" w:rsidTr="00111767">
        <w:trPr>
          <w:trHeight w:val="664"/>
        </w:trPr>
        <w:tc>
          <w:tcPr>
            <w:tcW w:w="4228" w:type="dxa"/>
            <w:gridSpan w:val="2"/>
            <w:shd w:val="clear" w:color="auto" w:fill="E2EFD9" w:themeFill="accent6" w:themeFillTint="33"/>
          </w:tcPr>
          <w:p w14:paraId="3F8A5523" w14:textId="77777777" w:rsidR="00901DD9" w:rsidRDefault="00901DD9" w:rsidP="0050494F">
            <w:pPr>
              <w:spacing w:after="240"/>
            </w:pPr>
            <w:r>
              <w:t xml:space="preserve">Брой на проведените обучения </w:t>
            </w:r>
          </w:p>
        </w:tc>
        <w:tc>
          <w:tcPr>
            <w:tcW w:w="5893" w:type="dxa"/>
            <w:gridSpan w:val="6"/>
            <w:shd w:val="clear" w:color="auto" w:fill="E2EFD9" w:themeFill="accent6" w:themeFillTint="33"/>
          </w:tcPr>
          <w:p w14:paraId="38F0F728" w14:textId="77777777" w:rsidR="00901DD9" w:rsidRDefault="00901DD9" w:rsidP="0050494F">
            <w:pPr>
              <w:spacing w:after="240"/>
            </w:pPr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898" w:type="dxa"/>
            <w:gridSpan w:val="5"/>
            <w:shd w:val="clear" w:color="auto" w:fill="E2EFD9" w:themeFill="accent6" w:themeFillTint="33"/>
          </w:tcPr>
          <w:p w14:paraId="0F469266" w14:textId="77777777" w:rsidR="00901DD9" w:rsidRDefault="00901DD9" w:rsidP="0050494F">
            <w:pPr>
              <w:spacing w:after="240"/>
            </w:pPr>
            <w:r>
              <w:t>Индикатор</w:t>
            </w:r>
          </w:p>
        </w:tc>
      </w:tr>
      <w:tr w:rsidR="007E0018" w14:paraId="78E8CD32" w14:textId="77777777" w:rsidTr="00286C2B">
        <w:trPr>
          <w:trHeight w:val="1362"/>
        </w:trPr>
        <w:tc>
          <w:tcPr>
            <w:tcW w:w="4228" w:type="dxa"/>
            <w:gridSpan w:val="2"/>
            <w:shd w:val="clear" w:color="auto" w:fill="FFFFFF" w:themeFill="background1"/>
          </w:tcPr>
          <w:p w14:paraId="2B72E876" w14:textId="3DFBC67C" w:rsidR="007E0018" w:rsidRPr="00286C2B" w:rsidRDefault="007E0018" w:rsidP="006937F4">
            <w:pPr>
              <w:spacing w:after="240"/>
              <w:jc w:val="both"/>
              <w:rPr>
                <w:sz w:val="22"/>
              </w:rPr>
            </w:pPr>
            <w:r w:rsidRPr="00286C2B">
              <w:rPr>
                <w:sz w:val="22"/>
              </w:rPr>
              <w:t>Броят на проведените обучен</w:t>
            </w:r>
            <w:r w:rsidR="00275E9A" w:rsidRPr="00286C2B">
              <w:rPr>
                <w:sz w:val="22"/>
              </w:rPr>
              <w:t xml:space="preserve">ия </w:t>
            </w:r>
            <w:r w:rsidR="004C4AB2" w:rsidRPr="00286C2B">
              <w:rPr>
                <w:sz w:val="22"/>
              </w:rPr>
              <w:t>на служителите на МЕУ/ИА ИЕУ</w:t>
            </w:r>
            <w:r w:rsidRPr="00286C2B">
              <w:rPr>
                <w:sz w:val="22"/>
              </w:rPr>
              <w:t xml:space="preserve"> ще бъде отчетен в 6-месечния и</w:t>
            </w:r>
            <w:r w:rsidR="006C15C3">
              <w:rPr>
                <w:sz w:val="22"/>
              </w:rPr>
              <w:t xml:space="preserve"> в</w:t>
            </w:r>
            <w:r w:rsidRPr="00286C2B">
              <w:rPr>
                <w:sz w:val="22"/>
              </w:rPr>
              <w:t xml:space="preserve"> г</w:t>
            </w:r>
            <w:r w:rsidR="006937F4">
              <w:rPr>
                <w:sz w:val="22"/>
              </w:rPr>
              <w:t>одишния отчет за изпълнение на мерките от антикорупционния план</w:t>
            </w:r>
            <w:r w:rsidRPr="00286C2B">
              <w:rPr>
                <w:sz w:val="22"/>
              </w:rPr>
              <w:t>.</w:t>
            </w:r>
          </w:p>
        </w:tc>
        <w:tc>
          <w:tcPr>
            <w:tcW w:w="5893" w:type="dxa"/>
            <w:gridSpan w:val="6"/>
            <w:shd w:val="clear" w:color="auto" w:fill="FFFFFF" w:themeFill="background1"/>
          </w:tcPr>
          <w:p w14:paraId="724CC22B" w14:textId="43E28CF3" w:rsidR="007E0018" w:rsidRPr="00286C2B" w:rsidRDefault="00A8083D" w:rsidP="006937F4">
            <w:pPr>
              <w:spacing w:after="240"/>
              <w:jc w:val="both"/>
              <w:rPr>
                <w:sz w:val="22"/>
              </w:rPr>
            </w:pPr>
            <w:r w:rsidRPr="00286C2B">
              <w:rPr>
                <w:sz w:val="22"/>
              </w:rPr>
              <w:t>У</w:t>
            </w:r>
            <w:r w:rsidR="00BA39C5" w:rsidRPr="00286C2B">
              <w:rPr>
                <w:sz w:val="22"/>
              </w:rPr>
              <w:t xml:space="preserve">частие на служители от </w:t>
            </w:r>
            <w:r w:rsidR="004C4AB2" w:rsidRPr="00286C2B">
              <w:rPr>
                <w:sz w:val="22"/>
              </w:rPr>
              <w:t>МЕУ/ИА ИЕУ</w:t>
            </w:r>
            <w:r w:rsidR="00BA39C5" w:rsidRPr="00286C2B">
              <w:rPr>
                <w:sz w:val="22"/>
              </w:rPr>
              <w:t xml:space="preserve"> в обучения на теми свързани с превенция и противодействие на корупцията, Кодекса за поведение на служителите в държавната администрация и приложение на специални закони. </w:t>
            </w:r>
          </w:p>
        </w:tc>
        <w:tc>
          <w:tcPr>
            <w:tcW w:w="5898" w:type="dxa"/>
            <w:gridSpan w:val="5"/>
            <w:shd w:val="clear" w:color="auto" w:fill="FFFFFF" w:themeFill="background1"/>
          </w:tcPr>
          <w:p w14:paraId="05C1DA85" w14:textId="6A4F0CDB" w:rsidR="007E0018" w:rsidRPr="00286C2B" w:rsidRDefault="0020377D" w:rsidP="006937F4">
            <w:pPr>
              <w:spacing w:after="240"/>
              <w:jc w:val="both"/>
              <w:rPr>
                <w:sz w:val="22"/>
              </w:rPr>
            </w:pPr>
            <w:r w:rsidRPr="00286C2B">
              <w:rPr>
                <w:sz w:val="22"/>
              </w:rPr>
              <w:t xml:space="preserve">Брой служители </w:t>
            </w:r>
            <w:r w:rsidR="00F07BED" w:rsidRPr="00286C2B">
              <w:rPr>
                <w:sz w:val="22"/>
              </w:rPr>
              <w:t>преминали обучени</w:t>
            </w:r>
            <w:r w:rsidR="005A572A" w:rsidRPr="00286C2B">
              <w:rPr>
                <w:sz w:val="22"/>
              </w:rPr>
              <w:t>я с антикорупционна насоченост</w:t>
            </w:r>
            <w:r w:rsidRPr="00286C2B">
              <w:rPr>
                <w:sz w:val="22"/>
              </w:rPr>
              <w:t xml:space="preserve"> спрямо общия брой на служителите преминали обучение.</w:t>
            </w:r>
          </w:p>
        </w:tc>
      </w:tr>
      <w:tr w:rsidR="00901DD9" w14:paraId="3C405008" w14:textId="77777777" w:rsidTr="009257A6">
        <w:trPr>
          <w:trHeight w:val="366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1614EFCD" w14:textId="3E605E1C" w:rsidR="009257A6" w:rsidRDefault="00901DD9" w:rsidP="0050494F">
            <w:pPr>
              <w:spacing w:after="240"/>
            </w:pPr>
            <w:r>
              <w:t>Посочване на възможни начини за подаване на сигнали</w:t>
            </w:r>
          </w:p>
        </w:tc>
      </w:tr>
      <w:tr w:rsidR="007D66E4" w14:paraId="37FBA110" w14:textId="77777777" w:rsidTr="008F274B">
        <w:trPr>
          <w:trHeight w:val="992"/>
        </w:trPr>
        <w:tc>
          <w:tcPr>
            <w:tcW w:w="4228" w:type="dxa"/>
            <w:gridSpan w:val="2"/>
            <w:shd w:val="clear" w:color="auto" w:fill="E2EFD9" w:themeFill="accent6" w:themeFillTint="33"/>
          </w:tcPr>
          <w:p w14:paraId="0A4B2477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Адрес</w:t>
            </w:r>
          </w:p>
        </w:tc>
        <w:tc>
          <w:tcPr>
            <w:tcW w:w="3994" w:type="dxa"/>
            <w:gridSpan w:val="4"/>
            <w:shd w:val="clear" w:color="auto" w:fill="E2EFD9" w:themeFill="accent6" w:themeFillTint="33"/>
          </w:tcPr>
          <w:p w14:paraId="7FC2AFBC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  <w:lang w:val="en-US"/>
              </w:rPr>
              <w:t xml:space="preserve">E-mail </w:t>
            </w:r>
            <w:r w:rsidRPr="009257A6">
              <w:rPr>
                <w:sz w:val="22"/>
              </w:rPr>
              <w:t>адрес</w:t>
            </w:r>
          </w:p>
        </w:tc>
        <w:tc>
          <w:tcPr>
            <w:tcW w:w="1899" w:type="dxa"/>
            <w:gridSpan w:val="2"/>
            <w:shd w:val="clear" w:color="auto" w:fill="E2EFD9" w:themeFill="accent6" w:themeFillTint="33"/>
          </w:tcPr>
          <w:p w14:paraId="6ADCBC93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Телефонен номер</w:t>
            </w:r>
          </w:p>
        </w:tc>
        <w:tc>
          <w:tcPr>
            <w:tcW w:w="4320" w:type="dxa"/>
            <w:gridSpan w:val="4"/>
            <w:shd w:val="clear" w:color="auto" w:fill="E2EFD9" w:themeFill="accent6" w:themeFillTint="33"/>
          </w:tcPr>
          <w:p w14:paraId="313B4837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14:paraId="4A4E46B6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Други</w:t>
            </w:r>
          </w:p>
        </w:tc>
      </w:tr>
      <w:tr w:rsidR="00B95CEA" w14:paraId="3673CA89" w14:textId="77777777" w:rsidTr="008F274B">
        <w:trPr>
          <w:trHeight w:val="566"/>
        </w:trPr>
        <w:tc>
          <w:tcPr>
            <w:tcW w:w="4228" w:type="dxa"/>
            <w:gridSpan w:val="2"/>
            <w:shd w:val="clear" w:color="auto" w:fill="FFFFFF" w:themeFill="background1"/>
          </w:tcPr>
          <w:p w14:paraId="4B5EC0B3" w14:textId="64261DFF" w:rsidR="004C4AB2" w:rsidRPr="009257A6" w:rsidRDefault="007E0018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 xml:space="preserve">Гр. София 1000, ул. „Ген. Й. В. Гурко“ </w:t>
            </w:r>
            <w:r w:rsidR="00885656">
              <w:rPr>
                <w:sz w:val="22"/>
              </w:rPr>
              <w:br/>
            </w:r>
            <w:r w:rsidRPr="009257A6">
              <w:rPr>
                <w:sz w:val="22"/>
              </w:rPr>
              <w:t>№ 6</w:t>
            </w:r>
            <w:r w:rsidR="004C4AB2" w:rsidRPr="009257A6">
              <w:rPr>
                <w:sz w:val="22"/>
              </w:rPr>
              <w:t xml:space="preserve"> </w:t>
            </w:r>
          </w:p>
        </w:tc>
        <w:tc>
          <w:tcPr>
            <w:tcW w:w="3994" w:type="dxa"/>
            <w:gridSpan w:val="4"/>
            <w:shd w:val="clear" w:color="auto" w:fill="FFFFFF" w:themeFill="background1"/>
          </w:tcPr>
          <w:p w14:paraId="0D135D5C" w14:textId="7B81FEBB" w:rsidR="007E0018" w:rsidRPr="009257A6" w:rsidRDefault="004C4AB2" w:rsidP="0050494F">
            <w:pPr>
              <w:spacing w:after="240"/>
              <w:rPr>
                <w:sz w:val="22"/>
                <w:lang w:val="en-US"/>
              </w:rPr>
            </w:pPr>
            <w:r w:rsidRPr="009257A6">
              <w:rPr>
                <w:sz w:val="22"/>
                <w:lang w:val="en-US"/>
              </w:rPr>
              <w:t>Inspektorat@egov.government.bg;</w:t>
            </w:r>
          </w:p>
        </w:tc>
        <w:tc>
          <w:tcPr>
            <w:tcW w:w="1899" w:type="dxa"/>
            <w:gridSpan w:val="2"/>
            <w:shd w:val="clear" w:color="auto" w:fill="FFFFFF" w:themeFill="background1"/>
          </w:tcPr>
          <w:p w14:paraId="56274DCF" w14:textId="76554B63" w:rsidR="007E0018" w:rsidRPr="009257A6" w:rsidRDefault="000F3415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02/949 2364</w:t>
            </w: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3CE0F1F7" w14:textId="3F8A7868" w:rsidR="007E0018" w:rsidRPr="009257A6" w:rsidRDefault="007E0018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 xml:space="preserve">Пощенска кутия в административната сграда на </w:t>
            </w:r>
            <w:r w:rsidR="004C4AB2" w:rsidRPr="009257A6">
              <w:rPr>
                <w:sz w:val="22"/>
              </w:rPr>
              <w:t>министерството</w:t>
            </w:r>
            <w:r w:rsidRPr="009257A6">
              <w:rPr>
                <w:sz w:val="22"/>
              </w:rPr>
              <w:t xml:space="preserve"> на ул. „Ген. Й. В. Гурко“ № 6, пар</w:t>
            </w:r>
            <w:r w:rsidR="0020377D" w:rsidRPr="009257A6">
              <w:rPr>
                <w:sz w:val="22"/>
              </w:rPr>
              <w:t xml:space="preserve">тер във фоайето до </w:t>
            </w:r>
            <w:r w:rsidR="0020377D" w:rsidRPr="009257A6">
              <w:rPr>
                <w:sz w:val="22"/>
              </w:rPr>
              <w:lastRenderedPageBreak/>
              <w:t>Центъра за административно обслужване</w:t>
            </w:r>
            <w:r w:rsidRPr="009257A6">
              <w:rPr>
                <w:sz w:val="22"/>
              </w:rPr>
              <w:t xml:space="preserve"> на</w:t>
            </w:r>
            <w:r w:rsidR="004C4AB2" w:rsidRPr="009257A6">
              <w:rPr>
                <w:sz w:val="22"/>
              </w:rPr>
              <w:t xml:space="preserve"> МЕУ</w:t>
            </w:r>
            <w:r w:rsidR="00F7556D" w:rsidRPr="009257A6">
              <w:rPr>
                <w:sz w:val="22"/>
              </w:rPr>
              <w:t>.</w:t>
            </w:r>
          </w:p>
        </w:tc>
        <w:tc>
          <w:tcPr>
            <w:tcW w:w="1578" w:type="dxa"/>
            <w:shd w:val="clear" w:color="auto" w:fill="FFFFFF" w:themeFill="background1"/>
          </w:tcPr>
          <w:p w14:paraId="1CAF5C8F" w14:textId="62FF9DD8" w:rsidR="007E0018" w:rsidRPr="009257A6" w:rsidRDefault="007E0018" w:rsidP="007540E2">
            <w:pPr>
              <w:rPr>
                <w:sz w:val="22"/>
              </w:rPr>
            </w:pPr>
            <w:r w:rsidRPr="009257A6">
              <w:rPr>
                <w:sz w:val="22"/>
              </w:rPr>
              <w:lastRenderedPageBreak/>
              <w:t>-</w:t>
            </w:r>
            <w:r w:rsidR="004C4AB2" w:rsidRPr="009257A6">
              <w:rPr>
                <w:sz w:val="22"/>
              </w:rPr>
              <w:t xml:space="preserve"> В Инспектората на МЕУ</w:t>
            </w:r>
            <w:r w:rsidR="007540E2" w:rsidRPr="009257A6">
              <w:rPr>
                <w:sz w:val="22"/>
              </w:rPr>
              <w:t>;</w:t>
            </w:r>
          </w:p>
          <w:p w14:paraId="0E7EACE6" w14:textId="1C888BBE" w:rsidR="007E0018" w:rsidRPr="009257A6" w:rsidRDefault="007E0018" w:rsidP="007540E2">
            <w:pPr>
              <w:rPr>
                <w:sz w:val="22"/>
              </w:rPr>
            </w:pPr>
            <w:r w:rsidRPr="009257A6">
              <w:rPr>
                <w:sz w:val="22"/>
              </w:rPr>
              <w:lastRenderedPageBreak/>
              <w:t>- Чрез пощенска услуга на хартие</w:t>
            </w:r>
            <w:r w:rsidR="004C4AB2" w:rsidRPr="009257A6">
              <w:rPr>
                <w:sz w:val="22"/>
              </w:rPr>
              <w:t>н нос</w:t>
            </w:r>
            <w:r w:rsidR="008F274B">
              <w:rPr>
                <w:sz w:val="22"/>
              </w:rPr>
              <w:t>ител на адреса на МЕУ до ръководителя на Инспектората</w:t>
            </w:r>
          </w:p>
          <w:p w14:paraId="2CBBA9F4" w14:textId="3BFDB657" w:rsidR="007E0018" w:rsidRPr="009257A6" w:rsidRDefault="007540E2" w:rsidP="007540E2">
            <w:pPr>
              <w:rPr>
                <w:sz w:val="22"/>
              </w:rPr>
            </w:pPr>
            <w:r w:rsidRPr="009257A6">
              <w:rPr>
                <w:sz w:val="22"/>
              </w:rPr>
              <w:t xml:space="preserve">- </w:t>
            </w:r>
            <w:r w:rsidR="006E41A0" w:rsidRPr="009257A6">
              <w:rPr>
                <w:sz w:val="22"/>
              </w:rPr>
              <w:t>на ръка;</w:t>
            </w:r>
            <w:r w:rsidR="006E41A0" w:rsidRPr="009257A6">
              <w:rPr>
                <w:sz w:val="22"/>
              </w:rPr>
              <w:br/>
              <w:t>- чрез Системата за електронен обмен на съобщения (СЕОС);</w:t>
            </w:r>
            <w:r w:rsidR="006E41A0" w:rsidRPr="009257A6">
              <w:rPr>
                <w:sz w:val="22"/>
              </w:rPr>
              <w:br/>
              <w:t>- чрез Системата за сигурно електронно връчване (ССЕВ).</w:t>
            </w:r>
          </w:p>
        </w:tc>
      </w:tr>
      <w:tr w:rsidR="00901DD9" w14:paraId="5C8DF6AA" w14:textId="77777777" w:rsidTr="00456FCB">
        <w:trPr>
          <w:trHeight w:val="408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132DBBE5" w14:textId="31A73FB9" w:rsidR="00E725DC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lastRenderedPageBreak/>
              <w:t>Мерки за защита на лицата, подали сигнали</w:t>
            </w:r>
          </w:p>
        </w:tc>
      </w:tr>
      <w:tr w:rsidR="00901DD9" w14:paraId="692E1E0C" w14:textId="77777777" w:rsidTr="008F274B">
        <w:trPr>
          <w:trHeight w:val="705"/>
        </w:trPr>
        <w:tc>
          <w:tcPr>
            <w:tcW w:w="5427" w:type="dxa"/>
            <w:gridSpan w:val="3"/>
            <w:shd w:val="clear" w:color="auto" w:fill="E2EFD9" w:themeFill="accent6" w:themeFillTint="33"/>
          </w:tcPr>
          <w:p w14:paraId="4D3CB39F" w14:textId="1590C4E9" w:rsidR="00901DD9" w:rsidRPr="009257A6" w:rsidRDefault="006E41A0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Същност на мерките: На лицата подали информация за конкретна корупционна проява и/или конфликт на интерес</w:t>
            </w:r>
            <w:r w:rsidR="0007066E">
              <w:rPr>
                <w:sz w:val="22"/>
              </w:rPr>
              <w:t>и за служител/и в Министерството</w:t>
            </w:r>
            <w:r w:rsidRPr="009257A6">
              <w:rPr>
                <w:sz w:val="22"/>
              </w:rPr>
              <w:t xml:space="preserve"> на електронното упр</w:t>
            </w:r>
            <w:r w:rsidR="00482384">
              <w:rPr>
                <w:sz w:val="22"/>
              </w:rPr>
              <w:t>авление и/или във В</w:t>
            </w:r>
            <w:r w:rsidRPr="009257A6">
              <w:rPr>
                <w:sz w:val="22"/>
              </w:rPr>
              <w:t>торостепенния</w:t>
            </w:r>
            <w:r w:rsidR="008A0361" w:rsidRPr="009257A6">
              <w:rPr>
                <w:sz w:val="22"/>
              </w:rPr>
              <w:t xml:space="preserve"> разпоредител</w:t>
            </w:r>
            <w:r w:rsidRPr="009257A6">
              <w:rPr>
                <w:sz w:val="22"/>
              </w:rPr>
              <w:t xml:space="preserve"> </w:t>
            </w:r>
            <w:r w:rsidR="0007066E">
              <w:rPr>
                <w:sz w:val="22"/>
              </w:rPr>
              <w:t>с бюджет (Изпълнителна агенция „</w:t>
            </w:r>
            <w:r w:rsidRPr="009257A6">
              <w:rPr>
                <w:sz w:val="22"/>
              </w:rPr>
              <w:t>Инфраструк</w:t>
            </w:r>
            <w:r w:rsidR="0007066E">
              <w:rPr>
                <w:sz w:val="22"/>
              </w:rPr>
              <w:t>тура на електронното управление“</w:t>
            </w:r>
            <w:r w:rsidRPr="009257A6">
              <w:rPr>
                <w:sz w:val="22"/>
              </w:rPr>
              <w:t>)</w:t>
            </w:r>
            <w:r w:rsidR="008A0361" w:rsidRPr="009257A6">
              <w:rPr>
                <w:sz w:val="22"/>
              </w:rPr>
              <w:t xml:space="preserve"> се гарантира защита чрез мерки, ограничаващи достъпа до информация и запазващи в тайна самоличността на подателя на сигнала.</w:t>
            </w:r>
          </w:p>
        </w:tc>
        <w:tc>
          <w:tcPr>
            <w:tcW w:w="10592" w:type="dxa"/>
            <w:gridSpan w:val="10"/>
            <w:shd w:val="clear" w:color="auto" w:fill="FFFFFF" w:themeFill="background1"/>
          </w:tcPr>
          <w:p w14:paraId="2AE6C1DA" w14:textId="77777777" w:rsidR="008A0361" w:rsidRPr="009257A6" w:rsidRDefault="008A0361" w:rsidP="00111767">
            <w:pPr>
              <w:spacing w:after="120"/>
              <w:rPr>
                <w:sz w:val="22"/>
              </w:rPr>
            </w:pPr>
            <w:r w:rsidRPr="009257A6">
              <w:rPr>
                <w:sz w:val="22"/>
              </w:rPr>
              <w:t>Мерките, ограничаващи достъпа до лицата подали сигнали, до информация съдържаща се в сигналите и достъпа до информацията, събрана при проверката на сигнала са следните:</w:t>
            </w:r>
          </w:p>
          <w:p w14:paraId="37F54993" w14:textId="77777777" w:rsidR="008A0361" w:rsidRPr="009257A6" w:rsidRDefault="008A0361" w:rsidP="00111767">
            <w:pPr>
              <w:spacing w:after="120"/>
              <w:rPr>
                <w:sz w:val="22"/>
              </w:rPr>
            </w:pPr>
            <w:r w:rsidRPr="009257A6">
              <w:rPr>
                <w:sz w:val="22"/>
              </w:rPr>
              <w:t>1. Ограничаване достъпа до получаваните сигнали за корупция;</w:t>
            </w:r>
          </w:p>
          <w:p w14:paraId="69513234" w14:textId="77777777" w:rsidR="008A0361" w:rsidRPr="009257A6" w:rsidRDefault="008A0361" w:rsidP="00111767">
            <w:pPr>
              <w:spacing w:after="120"/>
              <w:rPr>
                <w:sz w:val="22"/>
              </w:rPr>
            </w:pPr>
            <w:r w:rsidRPr="009257A6">
              <w:rPr>
                <w:sz w:val="22"/>
              </w:rPr>
              <w:t>2. Ограничаване на кръга от служебни лица, до които се насочват постъпилите писмени сигнали за корупция;</w:t>
            </w:r>
          </w:p>
          <w:p w14:paraId="0F273D0E" w14:textId="6511F0DF" w:rsidR="008A0361" w:rsidRPr="009257A6" w:rsidRDefault="008A0361" w:rsidP="00111767">
            <w:pPr>
              <w:spacing w:after="120"/>
              <w:rPr>
                <w:rFonts w:eastAsia="Calibri" w:cs="Times New Roman"/>
                <w:sz w:val="22"/>
              </w:rPr>
            </w:pPr>
            <w:r w:rsidRPr="009257A6">
              <w:rPr>
                <w:sz w:val="22"/>
              </w:rPr>
              <w:t xml:space="preserve">3. </w:t>
            </w:r>
            <w:r w:rsidRPr="009257A6">
              <w:rPr>
                <w:rFonts w:eastAsia="Calibri" w:cs="Times New Roman"/>
                <w:sz w:val="22"/>
              </w:rPr>
              <w:t xml:space="preserve">Лицата отговорни за регистрацията на получените сигнали са обвързани с нарочно изготвена  декларация по образец за не разкриване на данни и обстоятелства, станали им известни при работата със сигнали за корупция </w:t>
            </w:r>
            <w:r w:rsidR="00277834">
              <w:rPr>
                <w:rFonts w:eastAsia="Calibri" w:cs="Times New Roman"/>
                <w:sz w:val="22"/>
              </w:rPr>
              <w:t>и/</w:t>
            </w:r>
            <w:r w:rsidRPr="009257A6">
              <w:rPr>
                <w:rFonts w:eastAsia="Calibri" w:cs="Times New Roman"/>
                <w:sz w:val="22"/>
              </w:rPr>
              <w:t>или за конфликт на интереси;</w:t>
            </w:r>
          </w:p>
          <w:p w14:paraId="73A1EDF2" w14:textId="77E9E10A" w:rsidR="008A0361" w:rsidRPr="009257A6" w:rsidRDefault="008A0361" w:rsidP="00111767">
            <w:pPr>
              <w:spacing w:after="120"/>
              <w:rPr>
                <w:rFonts w:eastAsia="Calibri" w:cs="Times New Roman"/>
                <w:sz w:val="22"/>
              </w:rPr>
            </w:pPr>
            <w:r w:rsidRPr="009257A6">
              <w:rPr>
                <w:rFonts w:eastAsia="Calibri" w:cs="Times New Roman"/>
                <w:sz w:val="22"/>
              </w:rPr>
              <w:t>4. Ограничаване достъпа до заповедите за проверка на постъпилите сигнали;</w:t>
            </w:r>
          </w:p>
          <w:p w14:paraId="2CC3A8C3" w14:textId="54A53D5D" w:rsidR="0074092F" w:rsidRPr="009257A6" w:rsidRDefault="008A0361" w:rsidP="00111767">
            <w:pPr>
              <w:spacing w:after="120"/>
              <w:rPr>
                <w:sz w:val="22"/>
              </w:rPr>
            </w:pPr>
            <w:r w:rsidRPr="009257A6">
              <w:rPr>
                <w:rFonts w:eastAsia="Calibri" w:cs="Times New Roman"/>
                <w:sz w:val="22"/>
              </w:rPr>
              <w:lastRenderedPageBreak/>
              <w:t>5. Ог</w:t>
            </w:r>
            <w:r w:rsidR="00277834">
              <w:rPr>
                <w:rFonts w:eastAsia="Calibri" w:cs="Times New Roman"/>
                <w:sz w:val="22"/>
              </w:rPr>
              <w:t>раничаване на достъпа до докладите с резултати</w:t>
            </w:r>
            <w:r w:rsidRPr="009257A6">
              <w:rPr>
                <w:rFonts w:eastAsia="Calibri" w:cs="Times New Roman"/>
                <w:sz w:val="22"/>
              </w:rPr>
              <w:t xml:space="preserve"> от извършените проверки по постъпили сигнали за корупция и</w:t>
            </w:r>
            <w:r w:rsidR="00277834">
              <w:rPr>
                <w:rFonts w:eastAsia="Calibri" w:cs="Times New Roman"/>
                <w:sz w:val="22"/>
              </w:rPr>
              <w:t>/или за</w:t>
            </w:r>
            <w:r w:rsidRPr="009257A6">
              <w:rPr>
                <w:rFonts w:eastAsia="Calibri" w:cs="Times New Roman"/>
                <w:sz w:val="22"/>
              </w:rPr>
              <w:t xml:space="preserve"> конфликт на интереси.</w:t>
            </w:r>
          </w:p>
        </w:tc>
      </w:tr>
    </w:tbl>
    <w:p w14:paraId="428F23E7" w14:textId="77777777" w:rsidR="00563672" w:rsidRDefault="00563672" w:rsidP="00563672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0B6E4" w14:textId="7D58BB16" w:rsidR="00563672" w:rsidRDefault="00563672" w:rsidP="00563672">
      <w:pPr>
        <w:spacing w:line="240" w:lineRule="auto"/>
        <w:ind w:left="8494" w:firstLine="708"/>
        <w:rPr>
          <w:b/>
        </w:rPr>
      </w:pPr>
      <w:r w:rsidRPr="0020656E">
        <w:rPr>
          <w:b/>
        </w:rPr>
        <w:t>Изготвил:</w:t>
      </w:r>
      <w:r>
        <w:rPr>
          <w:b/>
        </w:rPr>
        <w:t xml:space="preserve"> </w:t>
      </w:r>
      <w:r w:rsidR="00C71F44">
        <w:rPr>
          <w:b/>
        </w:rPr>
        <w:t>(подпис)</w:t>
      </w:r>
      <w:bookmarkStart w:id="0" w:name="_GoBack"/>
      <w:bookmarkEnd w:id="0"/>
    </w:p>
    <w:p w14:paraId="1E4EFC0A" w14:textId="151DC524" w:rsidR="00563672" w:rsidRPr="0040675D" w:rsidRDefault="00563672" w:rsidP="00563672">
      <w:pPr>
        <w:spacing w:line="240" w:lineRule="auto"/>
        <w:ind w:left="8494" w:firstLine="708"/>
      </w:pPr>
      <w:r w:rsidRPr="0069589F">
        <w:rPr>
          <w:b/>
        </w:rPr>
        <w:t>Боряна Цветанова</w:t>
      </w:r>
    </w:p>
    <w:p w14:paraId="5727DFA0" w14:textId="77777777" w:rsidR="00563672" w:rsidRPr="0069589F" w:rsidRDefault="00563672" w:rsidP="00563672">
      <w:pPr>
        <w:spacing w:line="240" w:lineRule="auto"/>
        <w:ind w:left="8496" w:firstLine="706"/>
        <w:jc w:val="both"/>
        <w:rPr>
          <w:i/>
        </w:rPr>
      </w:pPr>
      <w:r w:rsidRPr="0069589F">
        <w:rPr>
          <w:i/>
        </w:rPr>
        <w:t xml:space="preserve">Ръководител на инспектората </w:t>
      </w:r>
      <w:r>
        <w:rPr>
          <w:i/>
        </w:rPr>
        <w:t>по чл. 46 от ЗА</w:t>
      </w:r>
    </w:p>
    <w:p w14:paraId="22AE6A98" w14:textId="15CC9D50" w:rsidR="007D6FB8" w:rsidRPr="00563672" w:rsidRDefault="00563672" w:rsidP="00563672">
      <w:pPr>
        <w:ind w:left="9204"/>
        <w:jc w:val="both"/>
        <w:rPr>
          <w:i/>
        </w:rPr>
      </w:pPr>
      <w:r>
        <w:rPr>
          <w:i/>
        </w:rPr>
        <w:t>в Министерство</w:t>
      </w:r>
      <w:r w:rsidRPr="0069589F">
        <w:rPr>
          <w:i/>
        </w:rPr>
        <w:t xml:space="preserve"> на електронното управление</w:t>
      </w:r>
    </w:p>
    <w:sectPr w:rsidR="007D6FB8" w:rsidRPr="00563672" w:rsidSect="000F033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0BA5" w14:textId="77777777" w:rsidR="00A85B51" w:rsidRDefault="00A85B51" w:rsidP="00EB15B6">
      <w:pPr>
        <w:spacing w:line="240" w:lineRule="auto"/>
      </w:pPr>
      <w:r>
        <w:separator/>
      </w:r>
    </w:p>
  </w:endnote>
  <w:endnote w:type="continuationSeparator" w:id="0">
    <w:p w14:paraId="25518EC9" w14:textId="77777777" w:rsidR="00A85B51" w:rsidRDefault="00A85B51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60EE3" w14:textId="77777777" w:rsidR="00A85B51" w:rsidRDefault="00A85B51" w:rsidP="00EB15B6">
      <w:pPr>
        <w:spacing w:line="240" w:lineRule="auto"/>
      </w:pPr>
      <w:r>
        <w:separator/>
      </w:r>
    </w:p>
  </w:footnote>
  <w:footnote w:type="continuationSeparator" w:id="0">
    <w:p w14:paraId="0F05DB7B" w14:textId="77777777" w:rsidR="00A85B51" w:rsidRDefault="00A85B51" w:rsidP="00EB1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124BD"/>
    <w:rsid w:val="0002688A"/>
    <w:rsid w:val="00052FBE"/>
    <w:rsid w:val="000543AE"/>
    <w:rsid w:val="0007066E"/>
    <w:rsid w:val="0007558C"/>
    <w:rsid w:val="0008125A"/>
    <w:rsid w:val="000840CE"/>
    <w:rsid w:val="0009558A"/>
    <w:rsid w:val="000A6319"/>
    <w:rsid w:val="000C268F"/>
    <w:rsid w:val="000C3966"/>
    <w:rsid w:val="000C3BCB"/>
    <w:rsid w:val="000F0330"/>
    <w:rsid w:val="000F3415"/>
    <w:rsid w:val="00111767"/>
    <w:rsid w:val="00112CB2"/>
    <w:rsid w:val="001176F0"/>
    <w:rsid w:val="00121F9F"/>
    <w:rsid w:val="00132C33"/>
    <w:rsid w:val="00133C55"/>
    <w:rsid w:val="00134E0B"/>
    <w:rsid w:val="00146277"/>
    <w:rsid w:val="001541C3"/>
    <w:rsid w:val="0016012A"/>
    <w:rsid w:val="00176884"/>
    <w:rsid w:val="00176D23"/>
    <w:rsid w:val="00187982"/>
    <w:rsid w:val="001A5925"/>
    <w:rsid w:val="001C1F74"/>
    <w:rsid w:val="001C20CB"/>
    <w:rsid w:val="0020377D"/>
    <w:rsid w:val="00203A23"/>
    <w:rsid w:val="00212EE6"/>
    <w:rsid w:val="0023524E"/>
    <w:rsid w:val="00237CE5"/>
    <w:rsid w:val="00237DE7"/>
    <w:rsid w:val="00247BED"/>
    <w:rsid w:val="00254003"/>
    <w:rsid w:val="00255879"/>
    <w:rsid w:val="002565DF"/>
    <w:rsid w:val="00257D2C"/>
    <w:rsid w:val="00271291"/>
    <w:rsid w:val="00275E9A"/>
    <w:rsid w:val="00277834"/>
    <w:rsid w:val="00286C2B"/>
    <w:rsid w:val="002E47E8"/>
    <w:rsid w:val="002E552F"/>
    <w:rsid w:val="00300D2B"/>
    <w:rsid w:val="00320258"/>
    <w:rsid w:val="00332C12"/>
    <w:rsid w:val="0033598F"/>
    <w:rsid w:val="0035673B"/>
    <w:rsid w:val="003579F1"/>
    <w:rsid w:val="00380A70"/>
    <w:rsid w:val="00387E9C"/>
    <w:rsid w:val="003A29B6"/>
    <w:rsid w:val="003B6918"/>
    <w:rsid w:val="003B6D81"/>
    <w:rsid w:val="003C0372"/>
    <w:rsid w:val="003C2D34"/>
    <w:rsid w:val="003C5461"/>
    <w:rsid w:val="00437944"/>
    <w:rsid w:val="0044530E"/>
    <w:rsid w:val="0044672D"/>
    <w:rsid w:val="00456155"/>
    <w:rsid w:val="00456FCB"/>
    <w:rsid w:val="00482384"/>
    <w:rsid w:val="004833BC"/>
    <w:rsid w:val="004912BB"/>
    <w:rsid w:val="004C2444"/>
    <w:rsid w:val="004C4AB2"/>
    <w:rsid w:val="004C66E6"/>
    <w:rsid w:val="004D461D"/>
    <w:rsid w:val="004F0C34"/>
    <w:rsid w:val="005021BE"/>
    <w:rsid w:val="0050494F"/>
    <w:rsid w:val="00505799"/>
    <w:rsid w:val="00547D56"/>
    <w:rsid w:val="00563672"/>
    <w:rsid w:val="00563EC4"/>
    <w:rsid w:val="00572018"/>
    <w:rsid w:val="00597D1A"/>
    <w:rsid w:val="005A572A"/>
    <w:rsid w:val="005A60FB"/>
    <w:rsid w:val="005C1055"/>
    <w:rsid w:val="005D221F"/>
    <w:rsid w:val="00601B3C"/>
    <w:rsid w:val="006056F0"/>
    <w:rsid w:val="00622E02"/>
    <w:rsid w:val="006236AD"/>
    <w:rsid w:val="00627990"/>
    <w:rsid w:val="00631C3C"/>
    <w:rsid w:val="0065076D"/>
    <w:rsid w:val="00651379"/>
    <w:rsid w:val="00673A03"/>
    <w:rsid w:val="00676080"/>
    <w:rsid w:val="00682AEB"/>
    <w:rsid w:val="006856F9"/>
    <w:rsid w:val="006922DF"/>
    <w:rsid w:val="006937F4"/>
    <w:rsid w:val="00696356"/>
    <w:rsid w:val="006A3DA7"/>
    <w:rsid w:val="006A67B1"/>
    <w:rsid w:val="006C15C3"/>
    <w:rsid w:val="006E41A0"/>
    <w:rsid w:val="006F3D2E"/>
    <w:rsid w:val="006F4A4A"/>
    <w:rsid w:val="006F7373"/>
    <w:rsid w:val="00700123"/>
    <w:rsid w:val="00700D8F"/>
    <w:rsid w:val="007066AA"/>
    <w:rsid w:val="00712322"/>
    <w:rsid w:val="0074092F"/>
    <w:rsid w:val="00744C24"/>
    <w:rsid w:val="007470F8"/>
    <w:rsid w:val="007540E2"/>
    <w:rsid w:val="0076552C"/>
    <w:rsid w:val="007A4569"/>
    <w:rsid w:val="007C6CEB"/>
    <w:rsid w:val="007D66E4"/>
    <w:rsid w:val="007D6FB8"/>
    <w:rsid w:val="007E0018"/>
    <w:rsid w:val="007F26B7"/>
    <w:rsid w:val="00803136"/>
    <w:rsid w:val="008130EA"/>
    <w:rsid w:val="0083149E"/>
    <w:rsid w:val="008348F2"/>
    <w:rsid w:val="0084042A"/>
    <w:rsid w:val="00854906"/>
    <w:rsid w:val="00855C37"/>
    <w:rsid w:val="00857937"/>
    <w:rsid w:val="00874327"/>
    <w:rsid w:val="00885656"/>
    <w:rsid w:val="00892ABA"/>
    <w:rsid w:val="008A0361"/>
    <w:rsid w:val="008A43F6"/>
    <w:rsid w:val="008B0AD8"/>
    <w:rsid w:val="008C06DA"/>
    <w:rsid w:val="008E44D0"/>
    <w:rsid w:val="008F0802"/>
    <w:rsid w:val="008F274B"/>
    <w:rsid w:val="00901DD9"/>
    <w:rsid w:val="0091645E"/>
    <w:rsid w:val="009257A6"/>
    <w:rsid w:val="00930719"/>
    <w:rsid w:val="00932F5C"/>
    <w:rsid w:val="00941FB5"/>
    <w:rsid w:val="00947527"/>
    <w:rsid w:val="0095462F"/>
    <w:rsid w:val="009800DB"/>
    <w:rsid w:val="00982A25"/>
    <w:rsid w:val="00997F5F"/>
    <w:rsid w:val="009A132C"/>
    <w:rsid w:val="009B396A"/>
    <w:rsid w:val="009C029C"/>
    <w:rsid w:val="009C50A6"/>
    <w:rsid w:val="009D3251"/>
    <w:rsid w:val="009D4781"/>
    <w:rsid w:val="009E4936"/>
    <w:rsid w:val="00A13683"/>
    <w:rsid w:val="00A31077"/>
    <w:rsid w:val="00A330BC"/>
    <w:rsid w:val="00A36718"/>
    <w:rsid w:val="00A46878"/>
    <w:rsid w:val="00A655FE"/>
    <w:rsid w:val="00A8083D"/>
    <w:rsid w:val="00A85B51"/>
    <w:rsid w:val="00AA099E"/>
    <w:rsid w:val="00AA436B"/>
    <w:rsid w:val="00AB0D33"/>
    <w:rsid w:val="00B23759"/>
    <w:rsid w:val="00B27377"/>
    <w:rsid w:val="00B371E9"/>
    <w:rsid w:val="00B406E6"/>
    <w:rsid w:val="00B46C28"/>
    <w:rsid w:val="00B635E4"/>
    <w:rsid w:val="00B7672E"/>
    <w:rsid w:val="00B8557C"/>
    <w:rsid w:val="00B875E4"/>
    <w:rsid w:val="00B92038"/>
    <w:rsid w:val="00B95CEA"/>
    <w:rsid w:val="00BA39C5"/>
    <w:rsid w:val="00BB7C2F"/>
    <w:rsid w:val="00BC147A"/>
    <w:rsid w:val="00BD0C7A"/>
    <w:rsid w:val="00C0093B"/>
    <w:rsid w:val="00C02205"/>
    <w:rsid w:val="00C05F41"/>
    <w:rsid w:val="00C166CD"/>
    <w:rsid w:val="00C3326F"/>
    <w:rsid w:val="00C52AF8"/>
    <w:rsid w:val="00C71F44"/>
    <w:rsid w:val="00CA41DA"/>
    <w:rsid w:val="00CA48FF"/>
    <w:rsid w:val="00CB73BD"/>
    <w:rsid w:val="00CC0081"/>
    <w:rsid w:val="00D11A76"/>
    <w:rsid w:val="00D14C1D"/>
    <w:rsid w:val="00D433EF"/>
    <w:rsid w:val="00D47342"/>
    <w:rsid w:val="00D4743C"/>
    <w:rsid w:val="00D7708E"/>
    <w:rsid w:val="00D77B01"/>
    <w:rsid w:val="00D831F2"/>
    <w:rsid w:val="00D93956"/>
    <w:rsid w:val="00D93B59"/>
    <w:rsid w:val="00D97545"/>
    <w:rsid w:val="00DC1DB7"/>
    <w:rsid w:val="00DC4D3C"/>
    <w:rsid w:val="00DC66AB"/>
    <w:rsid w:val="00DD2B4A"/>
    <w:rsid w:val="00DD5622"/>
    <w:rsid w:val="00DE3440"/>
    <w:rsid w:val="00DF72E8"/>
    <w:rsid w:val="00E16634"/>
    <w:rsid w:val="00E27B83"/>
    <w:rsid w:val="00E310BD"/>
    <w:rsid w:val="00E34B99"/>
    <w:rsid w:val="00E37422"/>
    <w:rsid w:val="00E41E19"/>
    <w:rsid w:val="00E4248E"/>
    <w:rsid w:val="00E725DC"/>
    <w:rsid w:val="00E75273"/>
    <w:rsid w:val="00E97C33"/>
    <w:rsid w:val="00EB0AD7"/>
    <w:rsid w:val="00EB15B6"/>
    <w:rsid w:val="00EE1F57"/>
    <w:rsid w:val="00EE494A"/>
    <w:rsid w:val="00EF0837"/>
    <w:rsid w:val="00F07BED"/>
    <w:rsid w:val="00F1658D"/>
    <w:rsid w:val="00F40033"/>
    <w:rsid w:val="00F45B47"/>
    <w:rsid w:val="00F56ADB"/>
    <w:rsid w:val="00F7556D"/>
    <w:rsid w:val="00F76345"/>
    <w:rsid w:val="00F84CD8"/>
    <w:rsid w:val="00F85F43"/>
    <w:rsid w:val="00FA47C6"/>
    <w:rsid w:val="00FC0965"/>
    <w:rsid w:val="00FC12A6"/>
    <w:rsid w:val="00FC46BC"/>
    <w:rsid w:val="00FE1E69"/>
    <w:rsid w:val="00FE6738"/>
    <w:rsid w:val="00FF5041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D3A8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55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6D"/>
  </w:style>
  <w:style w:type="paragraph" w:styleId="Footer">
    <w:name w:val="footer"/>
    <w:basedOn w:val="Normal"/>
    <w:link w:val="FooterChar"/>
    <w:uiPriority w:val="99"/>
    <w:unhideWhenUsed/>
    <w:rsid w:val="00F755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4BE0-DE3F-4569-A10B-EE92C875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Boryana Tsvetanova</cp:lastModifiedBy>
  <cp:revision>3</cp:revision>
  <cp:lastPrinted>2024-02-08T06:34:00Z</cp:lastPrinted>
  <dcterms:created xsi:type="dcterms:W3CDTF">2024-02-08T09:30:00Z</dcterms:created>
  <dcterms:modified xsi:type="dcterms:W3CDTF">2024-02-08T09:31:00Z</dcterms:modified>
</cp:coreProperties>
</file>