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F692" w14:textId="20663F45" w:rsidR="001643DC" w:rsidRDefault="001643DC" w:rsidP="0040675D">
      <w:pPr>
        <w:spacing w:line="240" w:lineRule="auto"/>
        <w:jc w:val="both"/>
        <w:rPr>
          <w:b/>
        </w:rPr>
      </w:pPr>
    </w:p>
    <w:p w14:paraId="79B8A690" w14:textId="64405187" w:rsidR="003C5461" w:rsidRPr="0040675D" w:rsidRDefault="00FA7F7A" w:rsidP="0040675D">
      <w:pPr>
        <w:spacing w:line="240" w:lineRule="auto"/>
        <w:ind w:left="9204" w:firstLine="708"/>
        <w:jc w:val="both"/>
        <w:rPr>
          <w:b/>
        </w:rPr>
      </w:pPr>
      <w:r>
        <w:rPr>
          <w:b/>
        </w:rPr>
        <w:t>Одобрил:</w:t>
      </w:r>
      <w:r w:rsidR="007E1F02">
        <w:rPr>
          <w:b/>
        </w:rPr>
        <w:t xml:space="preserve"> </w:t>
      </w:r>
      <w:r>
        <w:rPr>
          <w:b/>
        </w:rPr>
        <w:t xml:space="preserve">Александър </w:t>
      </w:r>
      <w:proofErr w:type="spellStart"/>
      <w:r>
        <w:rPr>
          <w:b/>
        </w:rPr>
        <w:t>Йоловски</w:t>
      </w:r>
      <w:proofErr w:type="spellEnd"/>
    </w:p>
    <w:p w14:paraId="4214AF4C" w14:textId="73C5CAA2" w:rsidR="008A0361" w:rsidRDefault="00E725DC" w:rsidP="004F0C34">
      <w:pPr>
        <w:spacing w:line="240" w:lineRule="auto"/>
        <w:ind w:left="849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D11A76" w:rsidRPr="00D11A76">
        <w:rPr>
          <w:i/>
        </w:rPr>
        <w:t>Министър на електронното управление</w:t>
      </w:r>
    </w:p>
    <w:p w14:paraId="06046075" w14:textId="77777777" w:rsidR="00CC0081" w:rsidRPr="004F0C34" w:rsidRDefault="00CC0081" w:rsidP="004F0C34">
      <w:pPr>
        <w:spacing w:line="240" w:lineRule="auto"/>
        <w:ind w:left="8496"/>
        <w:jc w:val="both"/>
      </w:pPr>
    </w:p>
    <w:p w14:paraId="4F4C8A1D" w14:textId="62EFA0A0" w:rsidR="008348F2" w:rsidRPr="00D11A76" w:rsidRDefault="00FA7F7A" w:rsidP="00FF5041">
      <w:pPr>
        <w:spacing w:line="240" w:lineRule="auto"/>
        <w:ind w:left="8496" w:firstLine="708"/>
        <w:jc w:val="both"/>
        <w:rPr>
          <w:b/>
        </w:rPr>
      </w:pPr>
      <w:r>
        <w:rPr>
          <w:b/>
        </w:rPr>
        <w:tab/>
        <w:t>Дата:</w:t>
      </w:r>
      <w:r w:rsidR="000D6EF3">
        <w:rPr>
          <w:b/>
        </w:rPr>
        <w:t xml:space="preserve"> </w:t>
      </w:r>
      <w:r w:rsidR="006069CC">
        <w:rPr>
          <w:b/>
        </w:rPr>
        <w:t>18.01.2024 г.</w:t>
      </w:r>
      <w:r w:rsidR="006069CC">
        <w:rPr>
          <w:rStyle w:val="FootnoteReference"/>
          <w:b/>
        </w:rPr>
        <w:footnoteReference w:id="1"/>
      </w:r>
    </w:p>
    <w:tbl>
      <w:tblPr>
        <w:tblStyle w:val="TableGrid"/>
        <w:tblW w:w="159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1"/>
        <w:gridCol w:w="1977"/>
        <w:gridCol w:w="1927"/>
        <w:gridCol w:w="1174"/>
        <w:gridCol w:w="893"/>
        <w:gridCol w:w="1418"/>
        <w:gridCol w:w="1497"/>
        <w:gridCol w:w="204"/>
        <w:gridCol w:w="1559"/>
        <w:gridCol w:w="1631"/>
        <w:gridCol w:w="1440"/>
      </w:tblGrid>
      <w:tr w:rsidR="00C02205" w14:paraId="3A5BC60E" w14:textId="77777777" w:rsidTr="00BB3678">
        <w:trPr>
          <w:trHeight w:val="425"/>
        </w:trPr>
        <w:tc>
          <w:tcPr>
            <w:tcW w:w="15971" w:type="dxa"/>
            <w:gridSpan w:val="11"/>
            <w:shd w:val="clear" w:color="auto" w:fill="BDD6EE" w:themeFill="accent1" w:themeFillTint="66"/>
          </w:tcPr>
          <w:p w14:paraId="465B5F17" w14:textId="0B805832" w:rsidR="00C02205" w:rsidRDefault="00FA7F7A" w:rsidP="0050494F">
            <w:pPr>
              <w:spacing w:after="240"/>
              <w:jc w:val="center"/>
              <w:rPr>
                <w:b/>
              </w:rPr>
            </w:pPr>
            <w:r w:rsidRPr="003C2D34">
              <w:rPr>
                <w:b/>
              </w:rPr>
              <w:t xml:space="preserve">АНТИКОРУПЦИОНЕН ПЛАН НА </w:t>
            </w:r>
            <w:r>
              <w:rPr>
                <w:b/>
              </w:rPr>
              <w:t xml:space="preserve">МИНИСТЕРСТВОТО НА ЕЛЕКТРОННОТО УПРАВЛЕНИЕ И </w:t>
            </w:r>
            <w:r w:rsidR="000D671D">
              <w:rPr>
                <w:b/>
              </w:rPr>
              <w:t xml:space="preserve">НА </w:t>
            </w:r>
            <w:r>
              <w:rPr>
                <w:b/>
              </w:rPr>
              <w:t>ИЗПЪЛНИТЕЛНА АГЕНЦИЯ „ИНФРАСТРУКТУРА НА ЕЛЕКТРОННОТО УПРАВЛЕНИЕ“ – 2023</w:t>
            </w:r>
            <w:r w:rsidRPr="003C2D34">
              <w:rPr>
                <w:b/>
              </w:rPr>
              <w:t xml:space="preserve"> ГОДИНА</w:t>
            </w:r>
          </w:p>
        </w:tc>
      </w:tr>
      <w:tr w:rsidR="00C02205" w14:paraId="3FAF1EEA" w14:textId="77777777" w:rsidTr="00BB3678">
        <w:trPr>
          <w:trHeight w:val="547"/>
        </w:trPr>
        <w:tc>
          <w:tcPr>
            <w:tcW w:w="15971" w:type="dxa"/>
            <w:gridSpan w:val="11"/>
            <w:shd w:val="clear" w:color="auto" w:fill="BDD6EE" w:themeFill="accent1" w:themeFillTint="66"/>
          </w:tcPr>
          <w:p w14:paraId="72A1AE78" w14:textId="65A76D20" w:rsidR="009B396A" w:rsidRPr="00FA7F7A" w:rsidRDefault="00652156" w:rsidP="00FA7F7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ГОДИШЕН </w:t>
            </w:r>
            <w:r w:rsidR="00FA7F7A" w:rsidRPr="006F3104">
              <w:rPr>
                <w:b/>
              </w:rPr>
              <w:t>ОТЧЕТ ЗА ИЗП</w:t>
            </w:r>
            <w:r>
              <w:rPr>
                <w:b/>
              </w:rPr>
              <w:t>ЪЛНЕНИЕ НА МЕРКИТЕ</w:t>
            </w:r>
          </w:p>
        </w:tc>
      </w:tr>
      <w:tr w:rsidR="00C02205" w14:paraId="440CE578" w14:textId="77777777" w:rsidTr="00BB3678">
        <w:trPr>
          <w:trHeight w:val="443"/>
        </w:trPr>
        <w:tc>
          <w:tcPr>
            <w:tcW w:w="15971" w:type="dxa"/>
            <w:gridSpan w:val="11"/>
            <w:shd w:val="clear" w:color="auto" w:fill="A8D08D" w:themeFill="accent6" w:themeFillTint="99"/>
          </w:tcPr>
          <w:p w14:paraId="3C41D172" w14:textId="487B7034" w:rsidR="009B396A" w:rsidRDefault="00C02205" w:rsidP="0050494F">
            <w:pPr>
              <w:spacing w:after="240"/>
            </w:pPr>
            <w:r>
              <w:t>Корупционен риск – упр</w:t>
            </w:r>
            <w:r w:rsidR="008E44D0">
              <w:t>авление, разпореждане или разхо</w:t>
            </w:r>
            <w:r>
              <w:t>д</w:t>
            </w:r>
            <w:r w:rsidR="008E44D0">
              <w:t>в</w:t>
            </w:r>
            <w:r>
              <w:t>ане на бюджетни средства и активи, вкл. обществени поръчки</w:t>
            </w:r>
          </w:p>
        </w:tc>
      </w:tr>
      <w:tr w:rsidR="00B95CEA" w14:paraId="0E3F23B8" w14:textId="77777777" w:rsidTr="003F5686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3DCC0B61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7DD59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61BDD9CF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B59C12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D53BEA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20C6AD9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0FE634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14:paraId="3A338A7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652B6E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Причини при </w:t>
            </w:r>
            <w:r w:rsidRPr="000B3FA7">
              <w:rPr>
                <w:sz w:val="20"/>
                <w:szCs w:val="20"/>
              </w:rPr>
              <w:t>неизпълнение</w:t>
            </w:r>
          </w:p>
        </w:tc>
      </w:tr>
      <w:tr w:rsidR="00257D2C" w14:paraId="17184580" w14:textId="77777777" w:rsidTr="00255219">
        <w:trPr>
          <w:trHeight w:val="525"/>
        </w:trPr>
        <w:tc>
          <w:tcPr>
            <w:tcW w:w="2251" w:type="dxa"/>
            <w:shd w:val="clear" w:color="auto" w:fill="FFFFFF" w:themeFill="background1"/>
          </w:tcPr>
          <w:p w14:paraId="41333575" w14:textId="43DACFFE" w:rsidR="00257D2C" w:rsidRPr="005A572A" w:rsidRDefault="00D93B59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Риск </w:t>
            </w:r>
            <w:r w:rsidR="00E16634">
              <w:rPr>
                <w:sz w:val="22"/>
              </w:rPr>
              <w:t xml:space="preserve">от наличие на </w:t>
            </w:r>
            <w:proofErr w:type="spellStart"/>
            <w:r w:rsidR="00E16634">
              <w:rPr>
                <w:sz w:val="22"/>
              </w:rPr>
              <w:t>непълноти</w:t>
            </w:r>
            <w:proofErr w:type="spellEnd"/>
            <w:r w:rsidR="00E16634">
              <w:rPr>
                <w:sz w:val="22"/>
              </w:rPr>
              <w:t xml:space="preserve"> и пропуски във </w:t>
            </w:r>
            <w:proofErr w:type="spellStart"/>
            <w:r w:rsidR="00E16634">
              <w:rPr>
                <w:sz w:val="22"/>
              </w:rPr>
              <w:t>вътрешноведомстве</w:t>
            </w:r>
            <w:r w:rsidR="00187982">
              <w:rPr>
                <w:sz w:val="22"/>
              </w:rPr>
              <w:t>-</w:t>
            </w:r>
            <w:r w:rsidR="00E16634">
              <w:rPr>
                <w:sz w:val="22"/>
              </w:rPr>
              <w:t>ните</w:t>
            </w:r>
            <w:proofErr w:type="spellEnd"/>
            <w:r w:rsidR="00E16634">
              <w:rPr>
                <w:sz w:val="22"/>
              </w:rPr>
              <w:t xml:space="preserve"> актове и прилагане на неясна, противоречива и непълна </w:t>
            </w:r>
            <w:proofErr w:type="spellStart"/>
            <w:r w:rsidR="00E16634">
              <w:rPr>
                <w:sz w:val="22"/>
              </w:rPr>
              <w:t>нормативноправна</w:t>
            </w:r>
            <w:proofErr w:type="spellEnd"/>
            <w:r w:rsidR="00E16634">
              <w:rPr>
                <w:sz w:val="22"/>
              </w:rPr>
              <w:t xml:space="preserve"> уредба при прилагане на ЗОП и ППЗОП.</w:t>
            </w:r>
          </w:p>
        </w:tc>
        <w:tc>
          <w:tcPr>
            <w:tcW w:w="1977" w:type="dxa"/>
            <w:shd w:val="clear" w:color="auto" w:fill="FFFFFF" w:themeFill="background1"/>
          </w:tcPr>
          <w:p w14:paraId="6496A1B1" w14:textId="27B41061" w:rsidR="00257D2C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П</w:t>
            </w:r>
            <w:r w:rsidR="00257D2C">
              <w:rPr>
                <w:sz w:val="22"/>
              </w:rPr>
              <w:t xml:space="preserve">реглед и актуализиране на Вътрешните правила за управление на цикъла на обществените поръчки, при установена слабост, при възникнала конкретна </w:t>
            </w:r>
            <w:r w:rsidR="00257D2C">
              <w:rPr>
                <w:sz w:val="22"/>
              </w:rPr>
              <w:lastRenderedPageBreak/>
              <w:t>необходимост и/или по дадени препоръки от външни/вътрешни контролни органи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927" w:type="dxa"/>
            <w:shd w:val="clear" w:color="auto" w:fill="FFFFFF" w:themeFill="background1"/>
          </w:tcPr>
          <w:p w14:paraId="01C5FB7D" w14:textId="73FF4966" w:rsidR="00257D2C" w:rsidRPr="005A572A" w:rsidRDefault="00247BED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2"/>
            <w:shd w:val="clear" w:color="auto" w:fill="FFFFFF" w:themeFill="background1"/>
          </w:tcPr>
          <w:p w14:paraId="234DAB60" w14:textId="07BF1DE3" w:rsidR="00247BED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Законност и п</w:t>
            </w:r>
            <w:r w:rsidR="00247BED">
              <w:rPr>
                <w:sz w:val="22"/>
              </w:rPr>
              <w:t>розрачност в процеса по възлагане</w:t>
            </w:r>
            <w:r>
              <w:rPr>
                <w:sz w:val="22"/>
              </w:rPr>
              <w:t xml:space="preserve"> и реализиране</w:t>
            </w:r>
            <w:r w:rsidR="00247BED">
              <w:rPr>
                <w:sz w:val="22"/>
              </w:rPr>
              <w:t xml:space="preserve"> н</w:t>
            </w:r>
            <w:r w:rsidR="00330367">
              <w:rPr>
                <w:sz w:val="22"/>
              </w:rPr>
              <w:t>а обществените поръчки в МЕУ/ИА</w:t>
            </w:r>
            <w:r w:rsidR="00247BED">
              <w:rPr>
                <w:sz w:val="22"/>
              </w:rPr>
              <w:t>ИЕУ, респективно при разходването на бюджетни средства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75B447DB" w14:textId="19F819CC" w:rsidR="00257D2C" w:rsidRPr="005A572A" w:rsidRDefault="000543AE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3C5461">
              <w:rPr>
                <w:sz w:val="22"/>
              </w:rPr>
              <w:t xml:space="preserve"> 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35A66E" w14:textId="0DCB4C3A" w:rsidR="00257D2C" w:rsidRPr="005A572A" w:rsidRDefault="000543AE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Наличие на вътрешно ведомствен акт, с който да се регламентира </w:t>
            </w:r>
            <w:r>
              <w:rPr>
                <w:sz w:val="22"/>
              </w:rPr>
              <w:t xml:space="preserve"> и конкретизира </w:t>
            </w:r>
            <w:r w:rsidRPr="005A572A">
              <w:rPr>
                <w:sz w:val="22"/>
              </w:rPr>
              <w:t xml:space="preserve">реда и начина на </w:t>
            </w:r>
            <w:r>
              <w:rPr>
                <w:sz w:val="22"/>
              </w:rPr>
              <w:t xml:space="preserve">провеждане на обществените поръчки, като </w:t>
            </w:r>
            <w:r>
              <w:rPr>
                <w:sz w:val="22"/>
              </w:rPr>
              <w:lastRenderedPageBreak/>
              <w:t xml:space="preserve">се гарантира прозрачност и законност при възлагането на </w:t>
            </w:r>
            <w:r w:rsidRPr="005A572A">
              <w:rPr>
                <w:sz w:val="22"/>
              </w:rPr>
              <w:t>изпълнението на обществени поръчки</w:t>
            </w:r>
            <w:r w:rsidR="00330367">
              <w:rPr>
                <w:sz w:val="22"/>
              </w:rPr>
              <w:t xml:space="preserve"> в МЕУ/ИА</w:t>
            </w:r>
            <w:r>
              <w:rPr>
                <w:sz w:val="22"/>
              </w:rPr>
              <w:t>ИЕУ</w:t>
            </w:r>
            <w:r w:rsidRPr="005A572A">
              <w:rPr>
                <w:sz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B0649" w14:textId="7508046A" w:rsidR="009257A6" w:rsidRDefault="000543AE" w:rsidP="001879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Директор на дирекция "Правни дейно</w:t>
            </w:r>
            <w:r w:rsidR="009257A6">
              <w:rPr>
                <w:sz w:val="22"/>
              </w:rPr>
              <w:t>сти и обществени поръчки</w:t>
            </w:r>
            <w:r w:rsidR="00482384">
              <w:rPr>
                <w:sz w:val="22"/>
              </w:rPr>
              <w:t>“</w:t>
            </w:r>
            <w:r w:rsidR="009257A6">
              <w:rPr>
                <w:sz w:val="22"/>
              </w:rPr>
              <w:t xml:space="preserve"> (МЕУ)</w:t>
            </w:r>
            <w:r w:rsidR="00330367">
              <w:rPr>
                <w:sz w:val="22"/>
              </w:rPr>
              <w:t>;</w:t>
            </w:r>
          </w:p>
          <w:p w14:paraId="377C1CB1" w14:textId="77777777" w:rsidR="00482384" w:rsidRDefault="00482384" w:rsidP="00187982">
            <w:pPr>
              <w:rPr>
                <w:sz w:val="22"/>
              </w:rPr>
            </w:pPr>
          </w:p>
          <w:p w14:paraId="4E30B01A" w14:textId="6C75C9C9" w:rsidR="00187982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 xml:space="preserve">Директор на дирекция „Административно-правно </w:t>
            </w:r>
            <w:r>
              <w:rPr>
                <w:sz w:val="22"/>
              </w:rPr>
              <w:lastRenderedPageBreak/>
              <w:t>и финансово обслужване“</w:t>
            </w:r>
          </w:p>
          <w:p w14:paraId="453E85D4" w14:textId="4DE8BF84" w:rsidR="00257D2C" w:rsidRPr="005A572A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330367">
              <w:rPr>
                <w:sz w:val="22"/>
              </w:rPr>
              <w:t>ИА</w:t>
            </w:r>
            <w:r w:rsidR="000543AE" w:rsidRPr="00B406E6">
              <w:rPr>
                <w:sz w:val="22"/>
              </w:rPr>
              <w:t>ИЕУ</w:t>
            </w:r>
            <w:r>
              <w:rPr>
                <w:sz w:val="22"/>
              </w:rPr>
              <w:t>)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631" w:type="dxa"/>
            <w:shd w:val="clear" w:color="auto" w:fill="FFFFFF" w:themeFill="background1"/>
          </w:tcPr>
          <w:p w14:paraId="35BF1869" w14:textId="20124B57" w:rsidR="00262438" w:rsidRPr="00ED2AB2" w:rsidRDefault="00262438" w:rsidP="00262438">
            <w:pPr>
              <w:rPr>
                <w:sz w:val="22"/>
              </w:rPr>
            </w:pPr>
            <w:r w:rsidRPr="00ED2AB2">
              <w:rPr>
                <w:sz w:val="22"/>
              </w:rPr>
              <w:lastRenderedPageBreak/>
              <w:t xml:space="preserve">През 2023 г. </w:t>
            </w:r>
            <w:r w:rsidR="00402980" w:rsidRPr="00ED2AB2">
              <w:rPr>
                <w:sz w:val="22"/>
              </w:rPr>
              <w:t>е извършен преглед на</w:t>
            </w:r>
            <w:r w:rsidRPr="00ED2AB2">
              <w:rPr>
                <w:sz w:val="22"/>
              </w:rPr>
              <w:t xml:space="preserve"> </w:t>
            </w:r>
            <w:r w:rsidR="001A3368" w:rsidRPr="00ED2AB2">
              <w:rPr>
                <w:sz w:val="22"/>
              </w:rPr>
              <w:t>Вътрешните правила за управление на цикъла на обществените поръчки (ВПУЦОП)</w:t>
            </w:r>
            <w:r w:rsidR="00596129" w:rsidRPr="00ED2AB2">
              <w:rPr>
                <w:sz w:val="22"/>
                <w:lang w:val="en-US"/>
              </w:rPr>
              <w:t xml:space="preserve"> </w:t>
            </w:r>
            <w:r w:rsidR="00596129" w:rsidRPr="00ED2AB2">
              <w:rPr>
                <w:sz w:val="22"/>
              </w:rPr>
              <w:t>на МЕУ</w:t>
            </w:r>
            <w:r w:rsidRPr="00ED2AB2">
              <w:rPr>
                <w:sz w:val="22"/>
              </w:rPr>
              <w:t xml:space="preserve">, утвърдени със </w:t>
            </w:r>
            <w:r w:rsidRPr="00ED2AB2">
              <w:rPr>
                <w:sz w:val="22"/>
              </w:rPr>
              <w:lastRenderedPageBreak/>
              <w:t>заповед № МЕУ-7357/</w:t>
            </w:r>
          </w:p>
          <w:p w14:paraId="10428523" w14:textId="5BA6B067" w:rsidR="0049370B" w:rsidRPr="00ED2AB2" w:rsidRDefault="00425CD5" w:rsidP="00262438">
            <w:pPr>
              <w:rPr>
                <w:sz w:val="22"/>
              </w:rPr>
            </w:pPr>
            <w:r w:rsidRPr="00ED2AB2">
              <w:rPr>
                <w:sz w:val="22"/>
              </w:rPr>
              <w:t>01</w:t>
            </w:r>
            <w:r w:rsidR="00262438" w:rsidRPr="00ED2AB2">
              <w:rPr>
                <w:sz w:val="22"/>
              </w:rPr>
              <w:t xml:space="preserve">.08.2022 г. на министъра на електронното управление и </w:t>
            </w:r>
            <w:r w:rsidR="00A716E0" w:rsidRPr="00ED2AB2">
              <w:rPr>
                <w:sz w:val="22"/>
              </w:rPr>
              <w:t>на ВПУЦОП на ИА</w:t>
            </w:r>
            <w:r w:rsidR="007F5946">
              <w:rPr>
                <w:sz w:val="22"/>
              </w:rPr>
              <w:t>ИЕУ, утвърдени със заповед № ИА</w:t>
            </w:r>
            <w:r w:rsidR="00255219">
              <w:rPr>
                <w:sz w:val="22"/>
                <w:lang w:val="en-US"/>
              </w:rPr>
              <w:t>__</w:t>
            </w:r>
            <w:r w:rsidR="00A716E0" w:rsidRPr="00ED2AB2">
              <w:rPr>
                <w:sz w:val="22"/>
              </w:rPr>
              <w:t>ИЕУ-518/</w:t>
            </w:r>
            <w:r w:rsidR="00E14F79">
              <w:rPr>
                <w:sz w:val="22"/>
              </w:rPr>
              <w:t xml:space="preserve">28.07.2022 г. на </w:t>
            </w:r>
            <w:proofErr w:type="spellStart"/>
            <w:r w:rsidR="00E14F79">
              <w:rPr>
                <w:sz w:val="22"/>
              </w:rPr>
              <w:t>изп</w:t>
            </w:r>
            <w:proofErr w:type="spellEnd"/>
            <w:r w:rsidR="00E14F79">
              <w:rPr>
                <w:sz w:val="22"/>
              </w:rPr>
              <w:t xml:space="preserve">. </w:t>
            </w:r>
            <w:r w:rsidRPr="00ED2AB2">
              <w:rPr>
                <w:sz w:val="22"/>
              </w:rPr>
              <w:t>д</w:t>
            </w:r>
            <w:r w:rsidR="00A716E0" w:rsidRPr="00ED2AB2">
              <w:rPr>
                <w:sz w:val="22"/>
              </w:rPr>
              <w:t>иректор</w:t>
            </w:r>
            <w:r w:rsidR="00813E4F" w:rsidRPr="00ED2AB2">
              <w:rPr>
                <w:sz w:val="22"/>
              </w:rPr>
              <w:t>.</w:t>
            </w:r>
          </w:p>
          <w:p w14:paraId="5CD6A81D" w14:textId="5514F202" w:rsidR="001476DF" w:rsidRPr="00ED2AB2" w:rsidRDefault="001A3368" w:rsidP="00262438">
            <w:pPr>
              <w:rPr>
                <w:sz w:val="22"/>
              </w:rPr>
            </w:pPr>
            <w:r>
              <w:rPr>
                <w:sz w:val="22"/>
              </w:rPr>
              <w:t>Актуализиран вариант на ВПУЦОП</w:t>
            </w:r>
            <w:r w:rsidR="001476DF" w:rsidRPr="00ED2AB2">
              <w:rPr>
                <w:sz w:val="22"/>
              </w:rPr>
              <w:t xml:space="preserve"> е в процес на изработване.  Актуализация</w:t>
            </w:r>
          </w:p>
          <w:p w14:paraId="0AA0F4E1" w14:textId="31BE2BF0" w:rsidR="001476DF" w:rsidRPr="00652156" w:rsidRDefault="001476DF" w:rsidP="00262438">
            <w:pPr>
              <w:rPr>
                <w:color w:val="FF0000"/>
                <w:sz w:val="22"/>
              </w:rPr>
            </w:pPr>
            <w:r w:rsidRPr="00ED2AB2">
              <w:rPr>
                <w:sz w:val="22"/>
              </w:rPr>
              <w:t>та на посочения документ се налага във връзка с нееднократни законови изменения</w:t>
            </w:r>
            <w:r w:rsidR="00E14F79">
              <w:rPr>
                <w:sz w:val="22"/>
              </w:rPr>
              <w:t>, конкретно -</w:t>
            </w:r>
            <w:r w:rsidRPr="00ED2AB2">
              <w:rPr>
                <w:sz w:val="22"/>
              </w:rPr>
              <w:t xml:space="preserve"> промени в Закона за обществените поръч</w:t>
            </w:r>
            <w:r w:rsidR="00ED2AB2">
              <w:rPr>
                <w:sz w:val="22"/>
              </w:rPr>
              <w:t xml:space="preserve">ки (ЗОП), приети </w:t>
            </w:r>
            <w:r w:rsidR="00ED2AB2">
              <w:rPr>
                <w:sz w:val="22"/>
              </w:rPr>
              <w:lastRenderedPageBreak/>
              <w:t>в края на 2023</w:t>
            </w:r>
            <w:r w:rsidR="00EF0038">
              <w:rPr>
                <w:sz w:val="22"/>
              </w:rPr>
              <w:t xml:space="preserve">г. </w:t>
            </w:r>
          </w:p>
        </w:tc>
        <w:tc>
          <w:tcPr>
            <w:tcW w:w="1440" w:type="dxa"/>
            <w:shd w:val="clear" w:color="auto" w:fill="FFFFFF" w:themeFill="background1"/>
          </w:tcPr>
          <w:p w14:paraId="5BDF0D90" w14:textId="745F3B14" w:rsidR="00257D2C" w:rsidRPr="005A572A" w:rsidRDefault="000B3FA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Няма</w:t>
            </w:r>
          </w:p>
        </w:tc>
      </w:tr>
      <w:tr w:rsidR="004C66E6" w14:paraId="60972FF5" w14:textId="77777777" w:rsidTr="003F5686">
        <w:trPr>
          <w:trHeight w:val="708"/>
        </w:trPr>
        <w:tc>
          <w:tcPr>
            <w:tcW w:w="2251" w:type="dxa"/>
          </w:tcPr>
          <w:p w14:paraId="6723E373" w14:textId="1A57681E" w:rsidR="004C66E6" w:rsidRPr="0074092F" w:rsidRDefault="004C66E6" w:rsidP="0050494F">
            <w:pPr>
              <w:spacing w:after="2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Риск от наличие на обвързаност на членовете на комисиите за провеждане на процедури по ЗОП с участници в процедурите по възлагане</w:t>
            </w:r>
            <w:r w:rsidR="001A3368">
              <w:rPr>
                <w:rFonts w:cs="Times New Roman"/>
                <w:sz w:val="22"/>
              </w:rPr>
              <w:t>.</w:t>
            </w:r>
          </w:p>
        </w:tc>
        <w:tc>
          <w:tcPr>
            <w:tcW w:w="1977" w:type="dxa"/>
          </w:tcPr>
          <w:p w14:paraId="66D9AAA9" w14:textId="26420D55" w:rsidR="004C66E6" w:rsidRDefault="004C66E6" w:rsidP="00187982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Ротация на служителите, участващи в комисиите, като се </w:t>
            </w:r>
            <w:r w:rsidR="00187982">
              <w:rPr>
                <w:sz w:val="22"/>
              </w:rPr>
              <w:t>следи притежаваната от тях</w:t>
            </w:r>
            <w:r w:rsidR="00D4743C">
              <w:rPr>
                <w:sz w:val="22"/>
              </w:rPr>
              <w:t xml:space="preserve"> </w:t>
            </w:r>
            <w:r>
              <w:rPr>
                <w:sz w:val="22"/>
              </w:rPr>
              <w:t>експертиза</w:t>
            </w:r>
            <w:r w:rsidR="00187982">
              <w:rPr>
                <w:sz w:val="22"/>
              </w:rPr>
              <w:t xml:space="preserve"> и нейната </w:t>
            </w:r>
            <w:proofErr w:type="spellStart"/>
            <w:r w:rsidR="00187982">
              <w:rPr>
                <w:sz w:val="22"/>
              </w:rPr>
              <w:t>относимост</w:t>
            </w:r>
            <w:proofErr w:type="spellEnd"/>
            <w:r w:rsidR="00187982">
              <w:rPr>
                <w:sz w:val="22"/>
              </w:rPr>
              <w:t xml:space="preserve"> към </w:t>
            </w:r>
            <w:r>
              <w:rPr>
                <w:sz w:val="22"/>
              </w:rPr>
              <w:t>предмета на поръчката</w:t>
            </w:r>
            <w:r w:rsidR="001A3368">
              <w:rPr>
                <w:sz w:val="22"/>
              </w:rPr>
              <w:t>.</w:t>
            </w:r>
          </w:p>
        </w:tc>
        <w:tc>
          <w:tcPr>
            <w:tcW w:w="1927" w:type="dxa"/>
          </w:tcPr>
          <w:p w14:paraId="47750736" w14:textId="624F2A2E" w:rsidR="004C66E6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4C66E6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</w:tc>
        <w:tc>
          <w:tcPr>
            <w:tcW w:w="2067" w:type="dxa"/>
            <w:gridSpan w:val="2"/>
          </w:tcPr>
          <w:p w14:paraId="6FA27915" w14:textId="0BB273D2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Осигуряване на независимост</w:t>
            </w:r>
            <w:r w:rsidR="00187982">
              <w:rPr>
                <w:sz w:val="22"/>
              </w:rPr>
              <w:t>, безпристрастно</w:t>
            </w:r>
            <w:r>
              <w:rPr>
                <w:sz w:val="22"/>
              </w:rPr>
              <w:t xml:space="preserve">ст </w:t>
            </w:r>
            <w:r w:rsidR="00187982">
              <w:rPr>
                <w:sz w:val="22"/>
              </w:rPr>
              <w:t xml:space="preserve">и компетентност </w:t>
            </w:r>
            <w:r>
              <w:rPr>
                <w:sz w:val="22"/>
              </w:rPr>
              <w:t>на комисиите за възлагане на ОП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418" w:type="dxa"/>
          </w:tcPr>
          <w:p w14:paraId="470C0BFF" w14:textId="2B72482F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 г.</w:t>
            </w:r>
          </w:p>
        </w:tc>
        <w:tc>
          <w:tcPr>
            <w:tcW w:w="1701" w:type="dxa"/>
            <w:gridSpan w:val="2"/>
          </w:tcPr>
          <w:p w14:paraId="343508BC" w14:textId="686BE9E8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Издадени заповеди за комисии за провеждане на процедури по ЗОП</w:t>
            </w:r>
            <w:r w:rsidR="00010661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6CC08C57" w14:textId="6E74391D" w:rsidR="009257A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 "Правни дейност</w:t>
            </w:r>
            <w:r w:rsidR="009257A6">
              <w:rPr>
                <w:sz w:val="22"/>
              </w:rPr>
              <w:t>и и обществени поръчки</w:t>
            </w:r>
            <w:r w:rsidR="00482384">
              <w:rPr>
                <w:sz w:val="22"/>
              </w:rPr>
              <w:t>“</w:t>
            </w:r>
            <w:r w:rsidR="009257A6">
              <w:rPr>
                <w:sz w:val="22"/>
              </w:rPr>
              <w:t xml:space="preserve"> (МЕУ)</w:t>
            </w:r>
            <w:r w:rsidR="00330367">
              <w:rPr>
                <w:sz w:val="22"/>
              </w:rPr>
              <w:t>;</w:t>
            </w:r>
          </w:p>
          <w:p w14:paraId="4EDA4F72" w14:textId="77777777" w:rsidR="009257A6" w:rsidRDefault="009257A6" w:rsidP="00187982">
            <w:pPr>
              <w:rPr>
                <w:sz w:val="22"/>
              </w:rPr>
            </w:pPr>
          </w:p>
          <w:p w14:paraId="7E61D648" w14:textId="09CF3212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 „Административно-правно и финансово обслужване“</w:t>
            </w:r>
          </w:p>
          <w:p w14:paraId="0A66831E" w14:textId="35AAA13D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330367">
              <w:rPr>
                <w:sz w:val="22"/>
              </w:rPr>
              <w:t>ИА</w:t>
            </w:r>
            <w:r w:rsidRPr="00B406E6">
              <w:rPr>
                <w:sz w:val="22"/>
              </w:rPr>
              <w:t>ИЕУ</w:t>
            </w:r>
            <w:r>
              <w:rPr>
                <w:sz w:val="22"/>
              </w:rPr>
              <w:t>)</w:t>
            </w:r>
            <w:r w:rsidR="00330367">
              <w:rPr>
                <w:sz w:val="22"/>
              </w:rPr>
              <w:t>;</w:t>
            </w:r>
          </w:p>
          <w:p w14:paraId="6F78AEC5" w14:textId="77777777" w:rsidR="009257A6" w:rsidRDefault="009257A6" w:rsidP="00187982">
            <w:pPr>
              <w:rPr>
                <w:sz w:val="22"/>
              </w:rPr>
            </w:pPr>
          </w:p>
          <w:p w14:paraId="146774A3" w14:textId="2826B19D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дирекцията заявител</w:t>
            </w:r>
            <w:r w:rsidR="00D4743C">
              <w:rPr>
                <w:sz w:val="22"/>
              </w:rPr>
              <w:t xml:space="preserve"> (МЕУ/ИА ИЕУ);</w:t>
            </w:r>
          </w:p>
          <w:p w14:paraId="33C6F770" w14:textId="77777777" w:rsidR="00330367" w:rsidRDefault="00330367" w:rsidP="00187982">
            <w:pPr>
              <w:rPr>
                <w:sz w:val="22"/>
              </w:rPr>
            </w:pPr>
          </w:p>
          <w:p w14:paraId="719CD8A1" w14:textId="6DF86CD6" w:rsidR="004C66E6" w:rsidRDefault="00330367" w:rsidP="00187982">
            <w:pPr>
              <w:rPr>
                <w:sz w:val="22"/>
              </w:rPr>
            </w:pPr>
            <w:r>
              <w:rPr>
                <w:sz w:val="22"/>
              </w:rPr>
              <w:t>Изпълнителен директор на ИА</w:t>
            </w:r>
            <w:r w:rsidR="004C66E6">
              <w:rPr>
                <w:sz w:val="22"/>
              </w:rPr>
              <w:t>ИЕУ</w:t>
            </w:r>
            <w:r>
              <w:rPr>
                <w:sz w:val="22"/>
              </w:rPr>
              <w:t>.</w:t>
            </w:r>
          </w:p>
        </w:tc>
        <w:tc>
          <w:tcPr>
            <w:tcW w:w="1631" w:type="dxa"/>
          </w:tcPr>
          <w:p w14:paraId="2AB7F9F5" w14:textId="4C395EE6" w:rsidR="00830E73" w:rsidRDefault="0000118E" w:rsidP="00830E73">
            <w:pPr>
              <w:rPr>
                <w:sz w:val="22"/>
              </w:rPr>
            </w:pPr>
            <w:r>
              <w:rPr>
                <w:sz w:val="22"/>
              </w:rPr>
              <w:t>Мярката е изпълнена</w:t>
            </w:r>
            <w:r w:rsidR="00813E4F" w:rsidRPr="00C03E44">
              <w:rPr>
                <w:sz w:val="22"/>
              </w:rPr>
              <w:t xml:space="preserve"> от МЕУ и </w:t>
            </w:r>
            <w:r w:rsidR="007F5946">
              <w:rPr>
                <w:sz w:val="22"/>
              </w:rPr>
              <w:t xml:space="preserve">от </w:t>
            </w:r>
            <w:r w:rsidR="00813E4F" w:rsidRPr="00C03E44">
              <w:rPr>
                <w:sz w:val="22"/>
              </w:rPr>
              <w:t>ИАИЕУ</w:t>
            </w:r>
            <w:r w:rsidR="00830E73">
              <w:rPr>
                <w:sz w:val="22"/>
              </w:rPr>
              <w:t>.</w:t>
            </w:r>
          </w:p>
          <w:p w14:paraId="7A85B045" w14:textId="07A324C7" w:rsidR="00830E73" w:rsidRDefault="00830E73" w:rsidP="00830E73">
            <w:pPr>
              <w:rPr>
                <w:sz w:val="22"/>
              </w:rPr>
            </w:pPr>
            <w:r>
              <w:rPr>
                <w:sz w:val="22"/>
              </w:rPr>
              <w:t>Ротацията на служителите се реализира</w:t>
            </w:r>
          </w:p>
          <w:p w14:paraId="14DF88C8" w14:textId="0DFF321A" w:rsidR="00830E73" w:rsidRDefault="00EF0038" w:rsidP="00830E73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830E73" w:rsidRPr="00830E73">
              <w:rPr>
                <w:sz w:val="22"/>
              </w:rPr>
              <w:t>ри участие в комисиите, назначавани</w:t>
            </w:r>
            <w:r>
              <w:rPr>
                <w:sz w:val="22"/>
              </w:rPr>
              <w:t xml:space="preserve"> със</w:t>
            </w:r>
            <w:r w:rsidR="00830E73" w:rsidRPr="00830E73">
              <w:rPr>
                <w:sz w:val="22"/>
              </w:rPr>
              <w:t xml:space="preserve"> </w:t>
            </w:r>
            <w:r w:rsidRPr="00EF0038">
              <w:rPr>
                <w:sz w:val="22"/>
              </w:rPr>
              <w:t xml:space="preserve">заповедите на възложителя </w:t>
            </w:r>
            <w:r>
              <w:rPr>
                <w:sz w:val="22"/>
              </w:rPr>
              <w:t xml:space="preserve">за </w:t>
            </w:r>
            <w:r w:rsidR="00830E73" w:rsidRPr="00830E73">
              <w:rPr>
                <w:sz w:val="22"/>
              </w:rPr>
              <w:t xml:space="preserve">провеждане </w:t>
            </w:r>
            <w:r>
              <w:rPr>
                <w:sz w:val="22"/>
              </w:rPr>
              <w:t>на обществени поръчки, според</w:t>
            </w:r>
            <w:r w:rsidR="00830E73" w:rsidRPr="00830E73">
              <w:rPr>
                <w:sz w:val="22"/>
              </w:rPr>
              <w:t xml:space="preserve"> притежавана</w:t>
            </w:r>
            <w:r>
              <w:rPr>
                <w:sz w:val="22"/>
              </w:rPr>
              <w:t>та</w:t>
            </w:r>
            <w:r w:rsidR="00830E73" w:rsidRPr="00830E73">
              <w:rPr>
                <w:sz w:val="22"/>
              </w:rPr>
              <w:t xml:space="preserve"> експертиза и отчитайки предмета на поръчката.</w:t>
            </w:r>
          </w:p>
          <w:p w14:paraId="65649C5F" w14:textId="27F209FE" w:rsidR="00A716E0" w:rsidRPr="00830E73" w:rsidRDefault="00EF0038" w:rsidP="00830E73">
            <w:pPr>
              <w:rPr>
                <w:sz w:val="22"/>
              </w:rPr>
            </w:pPr>
            <w:r>
              <w:rPr>
                <w:sz w:val="22"/>
              </w:rPr>
              <w:t>Допълнително се п</w:t>
            </w:r>
            <w:r w:rsidR="00830E73" w:rsidRPr="00830E73">
              <w:rPr>
                <w:sz w:val="22"/>
              </w:rPr>
              <w:t>роцедира възлагане разработката на документацията за пор</w:t>
            </w:r>
            <w:r w:rsidR="00386F8A">
              <w:rPr>
                <w:sz w:val="22"/>
              </w:rPr>
              <w:t>ъчката на един експерт</w:t>
            </w:r>
            <w:r w:rsidR="00830E73" w:rsidRPr="00830E73">
              <w:rPr>
                <w:sz w:val="22"/>
              </w:rPr>
              <w:t xml:space="preserve">, а цялостно провеждане на </w:t>
            </w:r>
            <w:r w:rsidR="00830E73" w:rsidRPr="00830E73">
              <w:rPr>
                <w:sz w:val="22"/>
              </w:rPr>
              <w:lastRenderedPageBreak/>
              <w:t>процедурата, включително участие в комисия, на друг експерт.</w:t>
            </w:r>
          </w:p>
          <w:p w14:paraId="292F8B81" w14:textId="5AB88798" w:rsidR="00A716E0" w:rsidRPr="005A572A" w:rsidRDefault="00A716E0" w:rsidP="00830E73">
            <w:pPr>
              <w:rPr>
                <w:color w:val="385623" w:themeColor="accent6" w:themeShade="80"/>
                <w:sz w:val="22"/>
              </w:rPr>
            </w:pPr>
          </w:p>
        </w:tc>
        <w:tc>
          <w:tcPr>
            <w:tcW w:w="1440" w:type="dxa"/>
          </w:tcPr>
          <w:p w14:paraId="2007A6D0" w14:textId="0C92C86E" w:rsidR="004C66E6" w:rsidRPr="005A572A" w:rsidRDefault="000B3FA7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>
              <w:rPr>
                <w:sz w:val="22"/>
              </w:rPr>
              <w:lastRenderedPageBreak/>
              <w:t>Няма</w:t>
            </w:r>
          </w:p>
        </w:tc>
      </w:tr>
      <w:tr w:rsidR="00901DD9" w14:paraId="17396F47" w14:textId="77777777" w:rsidTr="00BB3678">
        <w:trPr>
          <w:trHeight w:val="444"/>
        </w:trPr>
        <w:tc>
          <w:tcPr>
            <w:tcW w:w="15971" w:type="dxa"/>
            <w:gridSpan w:val="11"/>
            <w:shd w:val="clear" w:color="auto" w:fill="A8D08D" w:themeFill="accent6" w:themeFillTint="99"/>
          </w:tcPr>
          <w:p w14:paraId="7FD1305D" w14:textId="31D4E177" w:rsidR="00901DD9" w:rsidRPr="00997F5F" w:rsidRDefault="00901DD9" w:rsidP="0050494F">
            <w:pPr>
              <w:spacing w:after="240"/>
            </w:pPr>
            <w:r>
              <w:t>Корупционен риск – извършване на контролни дейности</w:t>
            </w:r>
          </w:p>
        </w:tc>
      </w:tr>
      <w:tr w:rsidR="00B95CEA" w14:paraId="13478A56" w14:textId="77777777" w:rsidTr="003F5686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116EA447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CA0F51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25E716C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2D6266BA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30BC68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5CB5A5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556ACA1" w14:textId="77777777" w:rsidR="00C02205" w:rsidRPr="005A572A" w:rsidRDefault="00C02205" w:rsidP="0050494F">
            <w:pPr>
              <w:spacing w:after="240"/>
              <w:rPr>
                <w:b/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14:paraId="06503362" w14:textId="77777777" w:rsidR="009257A6" w:rsidRDefault="009257A6" w:rsidP="009257A6">
            <w:pPr>
              <w:rPr>
                <w:sz w:val="22"/>
              </w:rPr>
            </w:pPr>
            <w:r>
              <w:rPr>
                <w:sz w:val="22"/>
              </w:rPr>
              <w:t>Изпълнение/</w:t>
            </w:r>
          </w:p>
          <w:p w14:paraId="29296638" w14:textId="4DCFFD7C" w:rsidR="00C02205" w:rsidRPr="005A572A" w:rsidRDefault="00C02205" w:rsidP="009257A6">
            <w:pPr>
              <w:rPr>
                <w:sz w:val="22"/>
              </w:rPr>
            </w:pPr>
            <w:r w:rsidRPr="005A572A">
              <w:rPr>
                <w:sz w:val="22"/>
              </w:rPr>
              <w:t>неизпълнение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44341F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Причини при </w:t>
            </w:r>
            <w:r w:rsidRPr="000B3FA7">
              <w:rPr>
                <w:sz w:val="20"/>
                <w:szCs w:val="20"/>
              </w:rPr>
              <w:t>неизпълнение</w:t>
            </w:r>
          </w:p>
        </w:tc>
      </w:tr>
      <w:tr w:rsidR="00456FCB" w14:paraId="6823DC25" w14:textId="77777777" w:rsidTr="00255219">
        <w:trPr>
          <w:trHeight w:val="2145"/>
        </w:trPr>
        <w:tc>
          <w:tcPr>
            <w:tcW w:w="2251" w:type="dxa"/>
            <w:shd w:val="clear" w:color="auto" w:fill="auto"/>
          </w:tcPr>
          <w:p w14:paraId="2D34D4F1" w14:textId="3A36B9E8" w:rsidR="00146277" w:rsidRPr="005A572A" w:rsidRDefault="00146277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Р</w:t>
            </w:r>
            <w:r w:rsidR="003579F1" w:rsidRPr="005A572A">
              <w:rPr>
                <w:sz w:val="22"/>
              </w:rPr>
              <w:t>иск</w:t>
            </w:r>
            <w:r w:rsidR="0023524E">
              <w:rPr>
                <w:sz w:val="22"/>
              </w:rPr>
              <w:t xml:space="preserve"> от възникване</w:t>
            </w:r>
            <w:r w:rsidRPr="005A572A">
              <w:rPr>
                <w:sz w:val="22"/>
              </w:rPr>
              <w:t xml:space="preserve"> на корупционни практики</w:t>
            </w:r>
            <w:r w:rsidR="00857937" w:rsidRPr="005A572A">
              <w:rPr>
                <w:sz w:val="22"/>
              </w:rPr>
              <w:t xml:space="preserve"> </w:t>
            </w:r>
            <w:r w:rsidRPr="005A572A">
              <w:rPr>
                <w:sz w:val="22"/>
              </w:rPr>
              <w:t xml:space="preserve">при </w:t>
            </w:r>
            <w:r w:rsidR="007D66E4" w:rsidRPr="005A572A">
              <w:rPr>
                <w:sz w:val="22"/>
              </w:rPr>
              <w:t>извършване на проверки</w:t>
            </w:r>
            <w:r w:rsidRPr="005A572A">
              <w:rPr>
                <w:sz w:val="22"/>
              </w:rPr>
              <w:t xml:space="preserve"> по спазване на ЗЕУ, </w:t>
            </w:r>
            <w:r w:rsidR="00482384">
              <w:rPr>
                <w:sz w:val="22"/>
              </w:rPr>
              <w:t>ЗКС,</w:t>
            </w:r>
            <w:r w:rsidR="00B95CEA" w:rsidRPr="005A572A">
              <w:rPr>
                <w:sz w:val="22"/>
              </w:rPr>
              <w:t xml:space="preserve"> ЗДОИ</w:t>
            </w:r>
            <w:r w:rsidR="002E552F">
              <w:rPr>
                <w:sz w:val="22"/>
              </w:rPr>
              <w:t>, ЗДПД</w:t>
            </w:r>
            <w:r w:rsidR="00B46C28">
              <w:rPr>
                <w:sz w:val="22"/>
              </w:rPr>
              <w:t xml:space="preserve">,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B46C28">
              <w:rPr>
                <w:sz w:val="22"/>
              </w:rPr>
              <w:t xml:space="preserve"> и Методиката за извършване на проверка на схеми </w:t>
            </w:r>
            <w:r w:rsidR="00176D23">
              <w:rPr>
                <w:sz w:val="22"/>
              </w:rPr>
              <w:t>за електронна идентификация за съответствието им с изискванията на чл. 7 – чл. 9 от Регламент (ЕС) № 910/2014 г</w:t>
            </w:r>
            <w:r w:rsidR="00B95CEA" w:rsidRPr="005A572A">
              <w:rPr>
                <w:sz w:val="22"/>
              </w:rPr>
              <w:t>.</w:t>
            </w:r>
          </w:p>
        </w:tc>
        <w:tc>
          <w:tcPr>
            <w:tcW w:w="1977" w:type="dxa"/>
          </w:tcPr>
          <w:p w14:paraId="5ED9FFE2" w14:textId="2C9ED262" w:rsidR="00146277" w:rsidRPr="005A572A" w:rsidRDefault="000C396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Осигуряване</w:t>
            </w:r>
            <w:r w:rsidR="00146277" w:rsidRPr="005A572A">
              <w:rPr>
                <w:sz w:val="22"/>
              </w:rPr>
              <w:t xml:space="preserve"> на ротация на служителите с контролни функции при планиране и извършване на планови и изв</w:t>
            </w:r>
            <w:r w:rsidR="00482384">
              <w:rPr>
                <w:sz w:val="22"/>
              </w:rPr>
              <w:t>ънпланови проверки по ЗЕУ, ЗКС,</w:t>
            </w:r>
            <w:r w:rsidR="00146277" w:rsidRPr="005A572A">
              <w:rPr>
                <w:sz w:val="22"/>
              </w:rPr>
              <w:t xml:space="preserve"> ЗДОИ</w:t>
            </w:r>
            <w:r w:rsidR="00176D23">
              <w:rPr>
                <w:sz w:val="22"/>
              </w:rPr>
              <w:t>, ЗДПД,</w:t>
            </w:r>
            <w:r w:rsidR="00482384">
              <w:rPr>
                <w:sz w:val="22"/>
              </w:rPr>
              <w:t xml:space="preserve">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2E552F">
              <w:rPr>
                <w:sz w:val="22"/>
              </w:rPr>
              <w:t xml:space="preserve"> </w:t>
            </w:r>
            <w:r w:rsidR="00176D23">
              <w:rPr>
                <w:sz w:val="22"/>
              </w:rPr>
              <w:t xml:space="preserve">и Методиката за извършване на проверка на схеми за електронна </w:t>
            </w:r>
            <w:r w:rsidR="00176D23">
              <w:rPr>
                <w:sz w:val="22"/>
              </w:rPr>
              <w:lastRenderedPageBreak/>
              <w:t>идентификация за съответствието им с изискванията на чл. 7 – чл. 9 от Регламент (ЕС) № 910/2014 г</w:t>
            </w:r>
            <w:r w:rsidR="00176D23" w:rsidRPr="005A572A">
              <w:rPr>
                <w:sz w:val="22"/>
              </w:rPr>
              <w:t>.</w:t>
            </w:r>
          </w:p>
        </w:tc>
        <w:tc>
          <w:tcPr>
            <w:tcW w:w="1927" w:type="dxa"/>
          </w:tcPr>
          <w:p w14:paraId="6C3A753D" w14:textId="42992326" w:rsidR="00146277" w:rsidRPr="005A572A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Организацион</w:t>
            </w:r>
            <w:r w:rsidR="00146277" w:rsidRPr="005A572A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19B093D5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  <w:p w14:paraId="262410CC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50A52159" w14:textId="44415059" w:rsidR="002E552F" w:rsidRPr="005A572A" w:rsidRDefault="00857937" w:rsidP="00AA099E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Прозрачност при определяне </w:t>
            </w:r>
            <w:r w:rsidR="00146277" w:rsidRPr="005A572A">
              <w:rPr>
                <w:sz w:val="22"/>
              </w:rPr>
              <w:t xml:space="preserve">на екипите за осъществяване на контрол. </w:t>
            </w:r>
          </w:p>
        </w:tc>
        <w:tc>
          <w:tcPr>
            <w:tcW w:w="1418" w:type="dxa"/>
          </w:tcPr>
          <w:p w14:paraId="69FD38DC" w14:textId="5AF7B3EC" w:rsidR="00146277" w:rsidRPr="005A572A" w:rsidRDefault="002E552F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4D461D" w:rsidRPr="005A572A">
              <w:rPr>
                <w:sz w:val="22"/>
              </w:rPr>
              <w:t xml:space="preserve"> </w:t>
            </w:r>
            <w:r w:rsidR="00947527" w:rsidRPr="005A572A">
              <w:rPr>
                <w:sz w:val="22"/>
              </w:rPr>
              <w:t>г</w:t>
            </w:r>
            <w:r w:rsidR="007066AA">
              <w:rPr>
                <w:sz w:val="22"/>
              </w:rPr>
              <w:t>.</w:t>
            </w:r>
          </w:p>
        </w:tc>
        <w:tc>
          <w:tcPr>
            <w:tcW w:w="1701" w:type="dxa"/>
            <w:gridSpan w:val="2"/>
          </w:tcPr>
          <w:p w14:paraId="65912C39" w14:textId="77777777" w:rsidR="009C029C" w:rsidRDefault="000C3966" w:rsidP="0050494F">
            <w:pPr>
              <w:spacing w:after="240"/>
              <w:rPr>
                <w:sz w:val="22"/>
              </w:rPr>
            </w:pPr>
            <w:r w:rsidRPr="00112CB2">
              <w:rPr>
                <w:sz w:val="22"/>
              </w:rPr>
              <w:t>Разработване на механизъм за осигуряване на ротация на служителите при планиране и извършване на проверки</w:t>
            </w:r>
            <w:r w:rsidR="009C029C">
              <w:rPr>
                <w:sz w:val="22"/>
              </w:rPr>
              <w:t>те.</w:t>
            </w:r>
          </w:p>
          <w:p w14:paraId="6BBE5653" w14:textId="729FEA0A" w:rsidR="00146277" w:rsidRPr="00112CB2" w:rsidRDefault="009C029C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Доклади с резултати от извършени проверки от вътрешни и външни контролни органи.</w:t>
            </w:r>
          </w:p>
          <w:p w14:paraId="327B2E7C" w14:textId="7E4454B4" w:rsidR="002E552F" w:rsidRPr="005A572A" w:rsidRDefault="002E552F" w:rsidP="0050494F">
            <w:pPr>
              <w:spacing w:after="240"/>
              <w:rPr>
                <w:sz w:val="22"/>
              </w:rPr>
            </w:pPr>
          </w:p>
        </w:tc>
        <w:tc>
          <w:tcPr>
            <w:tcW w:w="1559" w:type="dxa"/>
          </w:tcPr>
          <w:p w14:paraId="13D2B81B" w14:textId="77777777" w:rsidR="00146277" w:rsidRDefault="00B40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</w:t>
            </w:r>
            <w:r w:rsidR="002E552F">
              <w:rPr>
                <w:sz w:val="22"/>
              </w:rPr>
              <w:t xml:space="preserve"> </w:t>
            </w:r>
            <w:r>
              <w:rPr>
                <w:sz w:val="22"/>
              </w:rPr>
              <w:t>„Политики за електронно управление“</w:t>
            </w:r>
            <w:r w:rsidR="00673A03">
              <w:rPr>
                <w:sz w:val="22"/>
              </w:rPr>
              <w:t xml:space="preserve"> (МЕУ)</w:t>
            </w:r>
            <w:r w:rsidR="002E47E8">
              <w:rPr>
                <w:sz w:val="22"/>
              </w:rPr>
              <w:t>;</w:t>
            </w:r>
          </w:p>
          <w:p w14:paraId="0FD50710" w14:textId="28D63668" w:rsidR="002E47E8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„Системи и компоненти на електронното управление“ (МЕУ);</w:t>
            </w:r>
          </w:p>
          <w:p w14:paraId="3AB3075D" w14:textId="4E7F917F" w:rsidR="002E47E8" w:rsidRPr="005A572A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„Мрежова и информацион</w:t>
            </w:r>
            <w:r>
              <w:rPr>
                <w:sz w:val="22"/>
              </w:rPr>
              <w:lastRenderedPageBreak/>
              <w:t>на сигурност“ (МЕУ)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631" w:type="dxa"/>
          </w:tcPr>
          <w:p w14:paraId="012E5D18" w14:textId="6C6E3248" w:rsidR="00146277" w:rsidRPr="00F826C9" w:rsidRDefault="003F5686" w:rsidP="003F5686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Мярката е изпълнена</w:t>
            </w:r>
            <w:r w:rsidR="00CF68AC">
              <w:rPr>
                <w:sz w:val="22"/>
              </w:rPr>
              <w:t>.</w:t>
            </w:r>
            <w:r>
              <w:rPr>
                <w:sz w:val="22"/>
              </w:rPr>
              <w:t xml:space="preserve"> Р</w:t>
            </w:r>
            <w:r w:rsidR="0000118E">
              <w:rPr>
                <w:sz w:val="22"/>
              </w:rPr>
              <w:t>отация</w:t>
            </w:r>
            <w:r w:rsidR="000419D3">
              <w:rPr>
                <w:sz w:val="22"/>
              </w:rPr>
              <w:t>та</w:t>
            </w:r>
            <w:r w:rsidR="0000118E">
              <w:rPr>
                <w:sz w:val="22"/>
              </w:rPr>
              <w:t xml:space="preserve"> на служителит</w:t>
            </w:r>
            <w:r>
              <w:rPr>
                <w:sz w:val="22"/>
              </w:rPr>
              <w:t xml:space="preserve">е </w:t>
            </w:r>
            <w:r w:rsidR="000419D3">
              <w:rPr>
                <w:sz w:val="22"/>
              </w:rPr>
              <w:t xml:space="preserve">при всяка проверка </w:t>
            </w:r>
            <w:r w:rsidR="00830E73">
              <w:rPr>
                <w:sz w:val="22"/>
              </w:rPr>
              <w:t>се осъществява,</w:t>
            </w:r>
            <w:r w:rsidR="0000118E">
              <w:rPr>
                <w:sz w:val="22"/>
              </w:rPr>
              <w:t xml:space="preserve"> </w:t>
            </w:r>
            <w:r w:rsidR="00CF68AC">
              <w:rPr>
                <w:sz w:val="22"/>
              </w:rPr>
              <w:t xml:space="preserve">като </w:t>
            </w:r>
            <w:r w:rsidR="00D0500D">
              <w:rPr>
                <w:sz w:val="22"/>
              </w:rPr>
              <w:t xml:space="preserve">преди издаване на </w:t>
            </w:r>
            <w:r w:rsidR="00F826C9" w:rsidRPr="00F826C9">
              <w:rPr>
                <w:sz w:val="22"/>
              </w:rPr>
              <w:t>заповед</w:t>
            </w:r>
            <w:r w:rsidR="00D0500D">
              <w:rPr>
                <w:sz w:val="22"/>
              </w:rPr>
              <w:t>ите за възлагане на</w:t>
            </w:r>
            <w:r w:rsidR="00CF68AC">
              <w:rPr>
                <w:sz w:val="22"/>
              </w:rPr>
              <w:t xml:space="preserve"> </w:t>
            </w:r>
            <w:r>
              <w:rPr>
                <w:sz w:val="22"/>
              </w:rPr>
              <w:t>проверка</w:t>
            </w:r>
            <w:r w:rsidR="00D0500D">
              <w:rPr>
                <w:sz w:val="22"/>
              </w:rPr>
              <w:t>та</w:t>
            </w:r>
            <w:r w:rsidR="00CF68AC">
              <w:rPr>
                <w:sz w:val="22"/>
              </w:rPr>
              <w:t>,</w:t>
            </w:r>
            <w:r>
              <w:rPr>
                <w:sz w:val="22"/>
              </w:rPr>
              <w:t xml:space="preserve"> членовете на проверяващия</w:t>
            </w:r>
            <w:r w:rsidR="0000118E">
              <w:rPr>
                <w:sz w:val="22"/>
              </w:rPr>
              <w:t xml:space="preserve"> екипи </w:t>
            </w:r>
            <w:r>
              <w:rPr>
                <w:sz w:val="22"/>
              </w:rPr>
              <w:t>се номинират по компетентност</w:t>
            </w:r>
            <w:r w:rsidR="00F826C9" w:rsidRPr="00F826C9">
              <w:rPr>
                <w:sz w:val="22"/>
              </w:rPr>
              <w:t xml:space="preserve"> в съответствие с </w:t>
            </w:r>
            <w:r w:rsidR="00F826C9">
              <w:rPr>
                <w:sz w:val="22"/>
              </w:rPr>
              <w:t xml:space="preserve">утвърдените Вътрешни </w:t>
            </w:r>
            <w:r w:rsidR="00F826C9">
              <w:rPr>
                <w:sz w:val="22"/>
              </w:rPr>
              <w:lastRenderedPageBreak/>
              <w:t>правила</w:t>
            </w:r>
            <w:r w:rsidR="00F826C9" w:rsidRPr="00F826C9">
              <w:rPr>
                <w:sz w:val="22"/>
              </w:rPr>
              <w:t xml:space="preserve"> за осъществяване на контрол по спа</w:t>
            </w:r>
            <w:r w:rsidR="00F826C9">
              <w:rPr>
                <w:sz w:val="22"/>
              </w:rPr>
              <w:t>зване изискванията на ЗЕУ, ЗКС,</w:t>
            </w:r>
            <w:r w:rsidR="00F826C9" w:rsidRPr="00F826C9">
              <w:rPr>
                <w:sz w:val="22"/>
              </w:rPr>
              <w:t xml:space="preserve"> ЗДОИ</w:t>
            </w:r>
            <w:r w:rsidR="00F826C9">
              <w:rPr>
                <w:sz w:val="22"/>
              </w:rPr>
              <w:t xml:space="preserve"> и ЗДПД в МЕУ. </w:t>
            </w:r>
          </w:p>
        </w:tc>
        <w:tc>
          <w:tcPr>
            <w:tcW w:w="1440" w:type="dxa"/>
          </w:tcPr>
          <w:p w14:paraId="6AB6212E" w14:textId="761FD5EF" w:rsidR="00146277" w:rsidRPr="005A572A" w:rsidRDefault="000B3FA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Няма</w:t>
            </w:r>
          </w:p>
        </w:tc>
        <w:bookmarkStart w:id="0" w:name="_GoBack"/>
        <w:bookmarkEnd w:id="0"/>
      </w:tr>
      <w:tr w:rsidR="0035673B" w14:paraId="696E18D6" w14:textId="77777777" w:rsidTr="003F5686">
        <w:trPr>
          <w:trHeight w:val="708"/>
        </w:trPr>
        <w:tc>
          <w:tcPr>
            <w:tcW w:w="2251" w:type="dxa"/>
            <w:shd w:val="clear" w:color="auto" w:fill="auto"/>
          </w:tcPr>
          <w:p w14:paraId="6000B77B" w14:textId="0D5A7801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 xml:space="preserve">Риск от бездействие при постъпила </w:t>
            </w:r>
            <w:r w:rsidR="002E47E8">
              <w:rPr>
                <w:sz w:val="22"/>
              </w:rPr>
              <w:t xml:space="preserve">писмена </w:t>
            </w:r>
            <w:r>
              <w:rPr>
                <w:sz w:val="22"/>
              </w:rPr>
              <w:t>информация за корупционни практики и злоупотреба със служебно положение.</w:t>
            </w:r>
          </w:p>
        </w:tc>
        <w:tc>
          <w:tcPr>
            <w:tcW w:w="1977" w:type="dxa"/>
          </w:tcPr>
          <w:p w14:paraId="168BD369" w14:textId="6EA75F56" w:rsidR="0035673B" w:rsidRPr="001A3368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Подаване на информация до и</w:t>
            </w:r>
            <w:r w:rsidR="0035673B">
              <w:rPr>
                <w:sz w:val="22"/>
              </w:rPr>
              <w:t>нспектората на МЕУ за постъпил/и сигнал/и, съдържащи твърд</w:t>
            </w:r>
            <w:r w:rsidR="007540E2">
              <w:rPr>
                <w:sz w:val="22"/>
              </w:rPr>
              <w:t xml:space="preserve">ения за корупционно поведение и/или </w:t>
            </w:r>
            <w:r w:rsidR="0035673B">
              <w:rPr>
                <w:sz w:val="22"/>
              </w:rPr>
              <w:t>конфликт на интереси и предприети действия по тях</w:t>
            </w:r>
            <w:r w:rsidR="001A3368">
              <w:rPr>
                <w:sz w:val="22"/>
              </w:rPr>
              <w:t>.</w:t>
            </w:r>
          </w:p>
        </w:tc>
        <w:tc>
          <w:tcPr>
            <w:tcW w:w="1927" w:type="dxa"/>
          </w:tcPr>
          <w:p w14:paraId="0D3A21F0" w14:textId="2BAFF6D1" w:rsidR="0050494F" w:rsidRDefault="009257A6" w:rsidP="007540E2">
            <w:pPr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35673B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611ADB33" w14:textId="77777777" w:rsidR="0050494F" w:rsidRPr="0050494F" w:rsidRDefault="0050494F" w:rsidP="007540E2">
            <w:pPr>
              <w:rPr>
                <w:sz w:val="22"/>
              </w:rPr>
            </w:pPr>
          </w:p>
          <w:p w14:paraId="765E3A47" w14:textId="77777777" w:rsidR="0050494F" w:rsidRPr="0050494F" w:rsidRDefault="0050494F" w:rsidP="007540E2">
            <w:pPr>
              <w:rPr>
                <w:sz w:val="22"/>
              </w:rPr>
            </w:pPr>
          </w:p>
          <w:p w14:paraId="4606DB74" w14:textId="17EEB519" w:rsidR="0050494F" w:rsidRDefault="0050494F" w:rsidP="007540E2">
            <w:pPr>
              <w:rPr>
                <w:sz w:val="22"/>
              </w:rPr>
            </w:pPr>
          </w:p>
          <w:p w14:paraId="3BA64AF0" w14:textId="75959E45" w:rsidR="0050494F" w:rsidRDefault="0050494F" w:rsidP="007540E2">
            <w:pPr>
              <w:rPr>
                <w:sz w:val="22"/>
              </w:rPr>
            </w:pPr>
          </w:p>
          <w:p w14:paraId="07E5A90B" w14:textId="77777777" w:rsidR="0035673B" w:rsidRPr="0050494F" w:rsidRDefault="0035673B" w:rsidP="007540E2">
            <w:pPr>
              <w:ind w:firstLine="708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0A34AFE9" w14:textId="260148ED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Предприемане на съ</w:t>
            </w:r>
            <w:r w:rsidR="00275E9A">
              <w:rPr>
                <w:sz w:val="22"/>
              </w:rPr>
              <w:t>ответни и своевременни действия</w:t>
            </w:r>
            <w:r>
              <w:rPr>
                <w:sz w:val="22"/>
              </w:rPr>
              <w:t xml:space="preserve">, при постъпили </w:t>
            </w:r>
            <w:r w:rsidR="002E47E8">
              <w:rPr>
                <w:sz w:val="22"/>
              </w:rPr>
              <w:t xml:space="preserve">писмени </w:t>
            </w:r>
            <w:r>
              <w:rPr>
                <w:sz w:val="22"/>
              </w:rPr>
              <w:t>сигнали, съдържащи твърдения за корупция и/или конфликт на интереси</w:t>
            </w:r>
            <w:r w:rsidR="001A3368">
              <w:rPr>
                <w:sz w:val="22"/>
              </w:rPr>
              <w:t>.</w:t>
            </w:r>
          </w:p>
        </w:tc>
        <w:tc>
          <w:tcPr>
            <w:tcW w:w="1418" w:type="dxa"/>
          </w:tcPr>
          <w:p w14:paraId="224D2835" w14:textId="7D0EFCF7" w:rsidR="0035673B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31.12.2023 г.</w:t>
            </w:r>
          </w:p>
        </w:tc>
        <w:tc>
          <w:tcPr>
            <w:tcW w:w="1701" w:type="dxa"/>
            <w:gridSpan w:val="2"/>
          </w:tcPr>
          <w:p w14:paraId="2DAEEBB9" w14:textId="2C26E844" w:rsidR="0035673B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</w:t>
            </w:r>
            <w:r w:rsidR="00673A03">
              <w:rPr>
                <w:sz w:val="22"/>
              </w:rPr>
              <w:t xml:space="preserve">и </w:t>
            </w:r>
            <w:r w:rsidR="002E47E8">
              <w:rPr>
                <w:sz w:val="22"/>
              </w:rPr>
              <w:t xml:space="preserve">писмени </w:t>
            </w:r>
            <w:r w:rsidR="00673A03">
              <w:rPr>
                <w:sz w:val="22"/>
              </w:rPr>
              <w:t>сигнали и предприети действия;</w:t>
            </w:r>
          </w:p>
          <w:p w14:paraId="050C3354" w14:textId="330032DC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постъпили сиг</w:t>
            </w:r>
            <w:r w:rsidR="00275E9A">
              <w:rPr>
                <w:sz w:val="22"/>
              </w:rPr>
              <w:t>нали, препратени незабавно към и</w:t>
            </w:r>
            <w:r>
              <w:rPr>
                <w:sz w:val="22"/>
              </w:rPr>
              <w:t>нспектората на МЕУ за предприемане на последващи действия по компетентност</w:t>
            </w:r>
            <w:r w:rsidR="00673A03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640647B9" w14:textId="77777777" w:rsidR="006F7373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Ръководител на и</w:t>
            </w:r>
            <w:r w:rsidR="000C3966">
              <w:rPr>
                <w:sz w:val="22"/>
              </w:rPr>
              <w:t>нспекторат (МЕУ)</w:t>
            </w:r>
            <w:r w:rsidR="006F7373">
              <w:rPr>
                <w:sz w:val="22"/>
              </w:rPr>
              <w:t>/</w:t>
            </w:r>
          </w:p>
          <w:p w14:paraId="49EC1E08" w14:textId="3391BDC3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Главен секретар на МЕУ</w:t>
            </w:r>
            <w:r w:rsidR="00330367">
              <w:rPr>
                <w:sz w:val="22"/>
              </w:rPr>
              <w:t>;</w:t>
            </w:r>
          </w:p>
          <w:p w14:paraId="49C1B8B8" w14:textId="77777777" w:rsidR="009257A6" w:rsidRDefault="009257A6" w:rsidP="007540E2">
            <w:pPr>
              <w:rPr>
                <w:sz w:val="22"/>
              </w:rPr>
            </w:pPr>
          </w:p>
          <w:p w14:paraId="15C4C236" w14:textId="7929AA84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Директори на дирекции в МЕУ</w:t>
            </w:r>
            <w:r w:rsidR="00330367">
              <w:rPr>
                <w:sz w:val="22"/>
              </w:rPr>
              <w:t>;</w:t>
            </w:r>
          </w:p>
          <w:p w14:paraId="27D854DE" w14:textId="77777777" w:rsidR="009257A6" w:rsidRDefault="009257A6" w:rsidP="007540E2">
            <w:pPr>
              <w:rPr>
                <w:sz w:val="22"/>
              </w:rPr>
            </w:pPr>
          </w:p>
          <w:p w14:paraId="061D0E51" w14:textId="77777777" w:rsidR="009257A6" w:rsidRDefault="0035673B" w:rsidP="000C3966">
            <w:pPr>
              <w:rPr>
                <w:sz w:val="22"/>
              </w:rPr>
            </w:pPr>
            <w:r>
              <w:rPr>
                <w:sz w:val="22"/>
              </w:rPr>
              <w:t>Изпълнителен директор/</w:t>
            </w:r>
          </w:p>
          <w:p w14:paraId="4019C83A" w14:textId="39D01A7A" w:rsidR="0035673B" w:rsidRDefault="0035673B" w:rsidP="000C3966">
            <w:pPr>
              <w:rPr>
                <w:sz w:val="22"/>
              </w:rPr>
            </w:pPr>
            <w:r>
              <w:rPr>
                <w:sz w:val="22"/>
              </w:rPr>
              <w:t xml:space="preserve">Заместник </w:t>
            </w:r>
            <w:r w:rsidR="00330367">
              <w:rPr>
                <w:sz w:val="22"/>
              </w:rPr>
              <w:t>изпълнителен директор на ИА</w:t>
            </w:r>
            <w:r w:rsidR="000C3966">
              <w:rPr>
                <w:sz w:val="22"/>
              </w:rPr>
              <w:t>ИЕУ.</w:t>
            </w:r>
          </w:p>
        </w:tc>
        <w:tc>
          <w:tcPr>
            <w:tcW w:w="1631" w:type="dxa"/>
          </w:tcPr>
          <w:p w14:paraId="38232114" w14:textId="704AA285" w:rsidR="0035673B" w:rsidRPr="005A572A" w:rsidRDefault="005A7ED9" w:rsidP="007540E2">
            <w:pPr>
              <w:rPr>
                <w:sz w:val="22"/>
              </w:rPr>
            </w:pPr>
            <w:r>
              <w:rPr>
                <w:sz w:val="22"/>
              </w:rPr>
              <w:t>За</w:t>
            </w:r>
            <w:r w:rsidR="00663492">
              <w:rPr>
                <w:sz w:val="22"/>
              </w:rPr>
              <w:t xml:space="preserve"> 2023 г.</w:t>
            </w:r>
            <w:r w:rsidR="00F826C9">
              <w:rPr>
                <w:sz w:val="22"/>
              </w:rPr>
              <w:t xml:space="preserve"> в МЕУ и в ИА ИЕУ</w:t>
            </w:r>
            <w:r w:rsidR="00663492">
              <w:rPr>
                <w:sz w:val="22"/>
              </w:rPr>
              <w:t xml:space="preserve"> </w:t>
            </w:r>
            <w:r w:rsidR="002B0AF5">
              <w:rPr>
                <w:sz w:val="22"/>
              </w:rPr>
              <w:t>не са постъпвали сигнали, съдържащи твърдения за корупционно поведение и/или конфликт на интереси</w:t>
            </w:r>
            <w:r>
              <w:rPr>
                <w:sz w:val="22"/>
              </w:rPr>
              <w:t>.</w:t>
            </w:r>
          </w:p>
        </w:tc>
        <w:tc>
          <w:tcPr>
            <w:tcW w:w="1440" w:type="dxa"/>
          </w:tcPr>
          <w:p w14:paraId="36B8C519" w14:textId="399B6CF2" w:rsidR="0035673B" w:rsidRPr="005A572A" w:rsidRDefault="000B3FA7" w:rsidP="007540E2">
            <w:pPr>
              <w:rPr>
                <w:sz w:val="22"/>
              </w:rPr>
            </w:pPr>
            <w:r>
              <w:rPr>
                <w:sz w:val="22"/>
              </w:rPr>
              <w:t>Няма</w:t>
            </w:r>
          </w:p>
        </w:tc>
      </w:tr>
      <w:tr w:rsidR="00901DD9" w14:paraId="7A213B76" w14:textId="77777777" w:rsidTr="00BB3678">
        <w:trPr>
          <w:trHeight w:val="525"/>
        </w:trPr>
        <w:tc>
          <w:tcPr>
            <w:tcW w:w="15971" w:type="dxa"/>
            <w:gridSpan w:val="11"/>
            <w:shd w:val="clear" w:color="auto" w:fill="A8D08D" w:themeFill="accent6" w:themeFillTint="99"/>
          </w:tcPr>
          <w:p w14:paraId="5B021660" w14:textId="77777777" w:rsidR="00901DD9" w:rsidRDefault="00901DD9" w:rsidP="0050494F">
            <w:pPr>
              <w:spacing w:after="240"/>
            </w:pPr>
            <w:r w:rsidRPr="00B406E6">
              <w:t>Други мерки с оглед специфичните рискове в съответните ведомства</w:t>
            </w:r>
          </w:p>
        </w:tc>
      </w:tr>
      <w:tr w:rsidR="00B95CEA" w14:paraId="2AD30F44" w14:textId="77777777" w:rsidTr="003F5686">
        <w:trPr>
          <w:trHeight w:val="270"/>
        </w:trPr>
        <w:tc>
          <w:tcPr>
            <w:tcW w:w="2251" w:type="dxa"/>
            <w:shd w:val="clear" w:color="auto" w:fill="E2EFD9" w:themeFill="accent6" w:themeFillTint="33"/>
          </w:tcPr>
          <w:p w14:paraId="67F30ED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728DE4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14:paraId="48827B3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Насоченост на мярката – организационен/ кадрови/ промени </w:t>
            </w:r>
            <w:r w:rsidRPr="005A572A">
              <w:rPr>
                <w:sz w:val="22"/>
              </w:rPr>
              <w:lastRenderedPageBreak/>
              <w:t>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50BD48F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lastRenderedPageBreak/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8A411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1935C972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F7DD90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14:paraId="59FCC2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0B42A9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Причини при </w:t>
            </w:r>
            <w:r w:rsidRPr="003B0E9A">
              <w:rPr>
                <w:sz w:val="20"/>
                <w:szCs w:val="20"/>
              </w:rPr>
              <w:t>неизпълнение</w:t>
            </w:r>
          </w:p>
        </w:tc>
      </w:tr>
      <w:tr w:rsidR="0033598F" w:rsidRPr="005A60FB" w14:paraId="022A3A97" w14:textId="77777777" w:rsidTr="003F5686">
        <w:trPr>
          <w:trHeight w:val="708"/>
        </w:trPr>
        <w:tc>
          <w:tcPr>
            <w:tcW w:w="2251" w:type="dxa"/>
            <w:tcBorders>
              <w:bottom w:val="single" w:sz="4" w:space="0" w:color="auto"/>
            </w:tcBorders>
          </w:tcPr>
          <w:p w14:paraId="19CCCB72" w14:textId="4205CD1C" w:rsidR="0033598F" w:rsidRPr="00673A03" w:rsidRDefault="00B27377" w:rsidP="0050494F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Риск от липса на познания и недостатъчна информираност на служителите относно</w:t>
            </w:r>
            <w:r w:rsidR="007540E2">
              <w:rPr>
                <w:szCs w:val="24"/>
              </w:rPr>
              <w:t xml:space="preserve"> мерките за превенция</w:t>
            </w:r>
            <w:r>
              <w:rPr>
                <w:szCs w:val="24"/>
              </w:rPr>
              <w:t xml:space="preserve"> и противодействие на корупцията</w:t>
            </w:r>
            <w:r w:rsidR="00330367">
              <w:rPr>
                <w:szCs w:val="24"/>
              </w:rPr>
              <w:t>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60A58950" w14:textId="17284927" w:rsidR="0033598F" w:rsidRPr="005E0302" w:rsidRDefault="00B27377" w:rsidP="0050494F">
            <w:pPr>
              <w:spacing w:after="240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Участие на служители</w:t>
            </w:r>
            <w:r w:rsidR="007540E2">
              <w:rPr>
                <w:rFonts w:cs="Times New Roman"/>
                <w:szCs w:val="24"/>
              </w:rPr>
              <w:t xml:space="preserve"> от МЕУ и ИА ИЕУ в обучения и/или </w:t>
            </w:r>
            <w:r>
              <w:rPr>
                <w:rFonts w:cs="Times New Roman"/>
                <w:szCs w:val="24"/>
              </w:rPr>
              <w:t xml:space="preserve">семинари с </w:t>
            </w:r>
            <w:proofErr w:type="spellStart"/>
            <w:r>
              <w:rPr>
                <w:rFonts w:cs="Times New Roman"/>
                <w:szCs w:val="24"/>
              </w:rPr>
              <w:t>антикорупцион</w:t>
            </w:r>
            <w:proofErr w:type="spellEnd"/>
            <w:r w:rsidR="007540E2">
              <w:rPr>
                <w:rFonts w:cs="Times New Roman"/>
                <w:szCs w:val="24"/>
              </w:rPr>
              <w:t>-</w:t>
            </w:r>
            <w:r w:rsidR="00275E9A">
              <w:rPr>
                <w:rFonts w:cs="Times New Roman"/>
                <w:szCs w:val="24"/>
              </w:rPr>
              <w:t>на насоченост</w:t>
            </w:r>
            <w:r>
              <w:rPr>
                <w:rFonts w:cs="Times New Roman"/>
                <w:szCs w:val="24"/>
              </w:rPr>
              <w:t xml:space="preserve"> и прилагане на добри практики</w:t>
            </w:r>
            <w:r w:rsidR="00CF68AC">
              <w:rPr>
                <w:rFonts w:cs="Times New Roman"/>
                <w:szCs w:val="24"/>
              </w:rPr>
              <w:t>.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991A50B" w14:textId="5E99F9AA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3756ECF" w14:textId="18687892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Повишаване на</w:t>
            </w:r>
            <w:r w:rsidR="002E47E8">
              <w:rPr>
                <w:sz w:val="22"/>
              </w:rPr>
              <w:t xml:space="preserve"> знанията и опита на служители</w:t>
            </w:r>
            <w:r w:rsidR="00330367">
              <w:rPr>
                <w:sz w:val="22"/>
              </w:rPr>
              <w:t xml:space="preserve"> на МЕУ и ИА</w:t>
            </w:r>
            <w:r>
              <w:rPr>
                <w:sz w:val="22"/>
              </w:rPr>
              <w:t>ИЕУ по отношение на превенцията и противодействието на корупцията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8F6E7" w14:textId="71C4ACF0" w:rsidR="0033598F" w:rsidRPr="005A60FB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B27377">
              <w:rPr>
                <w:sz w:val="22"/>
              </w:rPr>
              <w:t>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D94F7EC" w14:textId="60D99D63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Брой проведени обучения и брой преминали о</w:t>
            </w:r>
            <w:r w:rsidR="00330367">
              <w:rPr>
                <w:sz w:val="22"/>
              </w:rPr>
              <w:t xml:space="preserve">бученията служители на МЕУ и </w:t>
            </w:r>
            <w:r w:rsidR="00010661">
              <w:rPr>
                <w:sz w:val="22"/>
              </w:rPr>
              <w:t xml:space="preserve">на </w:t>
            </w:r>
            <w:r w:rsidR="00330367">
              <w:rPr>
                <w:sz w:val="22"/>
              </w:rPr>
              <w:t>ИА</w:t>
            </w:r>
            <w:r>
              <w:rPr>
                <w:sz w:val="22"/>
              </w:rPr>
              <w:t>ИЕУ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815AC4" w14:textId="522ED1CC" w:rsidR="0033598F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Главния</w:t>
            </w:r>
            <w:r w:rsidR="00275E9A">
              <w:rPr>
                <w:sz w:val="22"/>
              </w:rPr>
              <w:t>т</w:t>
            </w:r>
            <w:r>
              <w:rPr>
                <w:sz w:val="22"/>
              </w:rPr>
              <w:t xml:space="preserve"> секретар на МЕУ и всичк</w:t>
            </w:r>
            <w:r w:rsidR="007540E2">
              <w:rPr>
                <w:sz w:val="22"/>
              </w:rPr>
              <w:t xml:space="preserve">и директори на дирекции от </w:t>
            </w:r>
            <w:r>
              <w:rPr>
                <w:sz w:val="22"/>
              </w:rPr>
              <w:t xml:space="preserve">общата и специализирана </w:t>
            </w:r>
            <w:proofErr w:type="spellStart"/>
            <w:r>
              <w:rPr>
                <w:sz w:val="22"/>
              </w:rPr>
              <w:t>администра</w:t>
            </w:r>
            <w:r w:rsidR="007540E2">
              <w:rPr>
                <w:sz w:val="22"/>
              </w:rPr>
              <w:t>-</w:t>
            </w:r>
            <w:r>
              <w:rPr>
                <w:sz w:val="22"/>
              </w:rPr>
              <w:t>ция</w:t>
            </w:r>
            <w:proofErr w:type="spellEnd"/>
            <w:r>
              <w:rPr>
                <w:sz w:val="22"/>
              </w:rPr>
              <w:t xml:space="preserve"> на МЕУ;</w:t>
            </w:r>
          </w:p>
          <w:p w14:paraId="06F80A41" w14:textId="0CFB3335" w:rsidR="00B27377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Изпълнител</w:t>
            </w:r>
            <w:r w:rsidR="007540E2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ния</w:t>
            </w:r>
            <w:r w:rsidR="00275E9A">
              <w:rPr>
                <w:sz w:val="22"/>
              </w:rPr>
              <w:t>т</w:t>
            </w:r>
            <w:proofErr w:type="spellEnd"/>
            <w:r w:rsidR="00330367">
              <w:rPr>
                <w:sz w:val="22"/>
              </w:rPr>
              <w:t xml:space="preserve"> директор на ИА</w:t>
            </w:r>
            <w:r>
              <w:rPr>
                <w:sz w:val="22"/>
              </w:rPr>
              <w:t>ИЕУ и всичк</w:t>
            </w:r>
            <w:r w:rsidR="007540E2">
              <w:rPr>
                <w:sz w:val="22"/>
              </w:rPr>
              <w:t>и директори на дирекции от</w:t>
            </w:r>
            <w:r>
              <w:rPr>
                <w:sz w:val="22"/>
              </w:rPr>
              <w:t xml:space="preserve"> общата и специализирана </w:t>
            </w:r>
            <w:proofErr w:type="spellStart"/>
            <w:r>
              <w:rPr>
                <w:sz w:val="22"/>
              </w:rPr>
              <w:t>администра</w:t>
            </w:r>
            <w:r w:rsidR="007540E2">
              <w:rPr>
                <w:sz w:val="22"/>
              </w:rPr>
              <w:t>-</w:t>
            </w:r>
            <w:r w:rsidR="00330367">
              <w:rPr>
                <w:sz w:val="22"/>
              </w:rPr>
              <w:t>ция</w:t>
            </w:r>
            <w:proofErr w:type="spellEnd"/>
            <w:r w:rsidR="00330367">
              <w:rPr>
                <w:sz w:val="22"/>
              </w:rPr>
              <w:t xml:space="preserve"> на ИА</w:t>
            </w:r>
            <w:r>
              <w:rPr>
                <w:sz w:val="22"/>
              </w:rPr>
              <w:t>ИЕУ</w:t>
            </w:r>
            <w:r w:rsidR="00330367">
              <w:rPr>
                <w:sz w:val="22"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1EEDC2B" w14:textId="6BD714E2" w:rsidR="005A7ED9" w:rsidRPr="00830E73" w:rsidRDefault="005A7ED9" w:rsidP="000B3FA7">
            <w:pPr>
              <w:rPr>
                <w:rFonts w:cs="Times New Roman"/>
                <w:sz w:val="22"/>
              </w:rPr>
            </w:pPr>
            <w:r w:rsidRPr="00830E73">
              <w:rPr>
                <w:rFonts w:cs="Times New Roman"/>
                <w:sz w:val="22"/>
              </w:rPr>
              <w:t>Мярката е</w:t>
            </w:r>
            <w:r w:rsidR="00421B4B" w:rsidRPr="00830E73">
              <w:rPr>
                <w:rFonts w:cs="Times New Roman"/>
                <w:sz w:val="22"/>
              </w:rPr>
              <w:t xml:space="preserve"> изпълнена</w:t>
            </w:r>
            <w:r w:rsidRPr="00830E73">
              <w:rPr>
                <w:rFonts w:cs="Times New Roman"/>
                <w:sz w:val="22"/>
              </w:rPr>
              <w:t>.</w:t>
            </w:r>
          </w:p>
          <w:p w14:paraId="085E26E7" w14:textId="5A8BD437" w:rsidR="00663492" w:rsidRPr="00830E73" w:rsidRDefault="005A7ED9" w:rsidP="000B3FA7">
            <w:pPr>
              <w:rPr>
                <w:rFonts w:cs="Times New Roman"/>
                <w:sz w:val="22"/>
              </w:rPr>
            </w:pPr>
            <w:r w:rsidRPr="00830E73">
              <w:rPr>
                <w:rFonts w:cs="Times New Roman"/>
                <w:sz w:val="22"/>
              </w:rPr>
              <w:t>Създадена е нужната организация и през 2023</w:t>
            </w:r>
            <w:r w:rsidR="00D0500D">
              <w:rPr>
                <w:rFonts w:cs="Times New Roman"/>
                <w:sz w:val="22"/>
              </w:rPr>
              <w:t xml:space="preserve"> </w:t>
            </w:r>
            <w:r w:rsidRPr="00830E73">
              <w:rPr>
                <w:rFonts w:cs="Times New Roman"/>
                <w:sz w:val="22"/>
              </w:rPr>
              <w:t xml:space="preserve">г., служители </w:t>
            </w:r>
            <w:r w:rsidR="00663492" w:rsidRPr="00830E73">
              <w:rPr>
                <w:rFonts w:cs="Times New Roman"/>
                <w:sz w:val="22"/>
              </w:rPr>
              <w:t xml:space="preserve">от МЕУ и от </w:t>
            </w:r>
          </w:p>
          <w:p w14:paraId="45B38926" w14:textId="7F0F7E1F" w:rsidR="00830E73" w:rsidRDefault="007F5946" w:rsidP="000B3F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ИА</w:t>
            </w:r>
            <w:r w:rsidR="00663492" w:rsidRPr="00830E73">
              <w:rPr>
                <w:rFonts w:cs="Times New Roman"/>
                <w:sz w:val="22"/>
              </w:rPr>
              <w:t>ИЕУ</w:t>
            </w:r>
            <w:r w:rsidR="005A7ED9" w:rsidRPr="00830E73">
              <w:rPr>
                <w:rFonts w:cs="Times New Roman"/>
                <w:sz w:val="22"/>
              </w:rPr>
              <w:t xml:space="preserve"> са взели участие </w:t>
            </w:r>
            <w:r>
              <w:rPr>
                <w:rFonts w:cs="Times New Roman"/>
                <w:sz w:val="22"/>
              </w:rPr>
              <w:t xml:space="preserve">и успешно са преминали обученията с </w:t>
            </w:r>
            <w:proofErr w:type="spellStart"/>
            <w:r>
              <w:rPr>
                <w:rFonts w:cs="Times New Roman"/>
                <w:sz w:val="22"/>
              </w:rPr>
              <w:t>антикорупци</w:t>
            </w:r>
            <w:r w:rsidR="00333773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онна</w:t>
            </w:r>
            <w:proofErr w:type="spellEnd"/>
            <w:r>
              <w:rPr>
                <w:rFonts w:cs="Times New Roman"/>
                <w:sz w:val="22"/>
              </w:rPr>
              <w:t xml:space="preserve"> насоченост, </w:t>
            </w:r>
            <w:r w:rsidR="005A7ED9" w:rsidRPr="00830E73">
              <w:rPr>
                <w:rFonts w:cs="Times New Roman"/>
                <w:sz w:val="22"/>
              </w:rPr>
              <w:t xml:space="preserve">организирани от </w:t>
            </w:r>
          </w:p>
          <w:p w14:paraId="74AE1A47" w14:textId="4E66B607" w:rsidR="003B0E9A" w:rsidRPr="005A60FB" w:rsidRDefault="00830E73" w:rsidP="000B3FA7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ИПА.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331E9C" w14:textId="2468CF40" w:rsidR="0033598F" w:rsidRPr="005A60FB" w:rsidRDefault="000B3FA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Няма</w:t>
            </w:r>
          </w:p>
        </w:tc>
      </w:tr>
      <w:tr w:rsidR="00901DD9" w14:paraId="606EAA63" w14:textId="77777777" w:rsidTr="00BB3678">
        <w:trPr>
          <w:trHeight w:val="297"/>
        </w:trPr>
        <w:tc>
          <w:tcPr>
            <w:tcW w:w="15971" w:type="dxa"/>
            <w:gridSpan w:val="11"/>
            <w:shd w:val="clear" w:color="auto" w:fill="A8D08D" w:themeFill="accent6" w:themeFillTint="99"/>
          </w:tcPr>
          <w:p w14:paraId="6BA97EB4" w14:textId="77777777" w:rsidR="00901DD9" w:rsidRDefault="00901DD9" w:rsidP="0050494F">
            <w:pPr>
              <w:spacing w:after="240"/>
            </w:pPr>
            <w:r>
              <w:t>Мерки за публичност</w:t>
            </w:r>
          </w:p>
        </w:tc>
      </w:tr>
      <w:tr w:rsidR="00947527" w14:paraId="1A7F7A3C" w14:textId="77777777" w:rsidTr="00BB3678">
        <w:trPr>
          <w:trHeight w:val="557"/>
        </w:trPr>
        <w:tc>
          <w:tcPr>
            <w:tcW w:w="2251" w:type="dxa"/>
            <w:shd w:val="clear" w:color="auto" w:fill="E2EFD9" w:themeFill="accent6" w:themeFillTint="33"/>
          </w:tcPr>
          <w:p w14:paraId="108B807E" w14:textId="77777777" w:rsidR="00C02205" w:rsidRPr="00AC6CE7" w:rsidRDefault="00C02205" w:rsidP="0050494F">
            <w:pPr>
              <w:spacing w:after="240"/>
            </w:pPr>
            <w: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22F11030" w14:textId="20974AF1" w:rsidR="00C02205" w:rsidRDefault="00C02205" w:rsidP="0050494F">
            <w:pPr>
              <w:spacing w:after="240"/>
            </w:pPr>
            <w:r w:rsidRPr="00AC6CE7">
              <w:t>Описание на мярката</w:t>
            </w:r>
          </w:p>
        </w:tc>
        <w:tc>
          <w:tcPr>
            <w:tcW w:w="3101" w:type="dxa"/>
            <w:gridSpan w:val="2"/>
            <w:shd w:val="clear" w:color="auto" w:fill="E2EFD9" w:themeFill="accent6" w:themeFillTint="33"/>
          </w:tcPr>
          <w:p w14:paraId="1506CC5E" w14:textId="77777777" w:rsidR="00C02205" w:rsidRDefault="00C02205" w:rsidP="0050494F">
            <w:pPr>
              <w:spacing w:after="240"/>
            </w:pPr>
            <w:r>
              <w:t>Срок за изпълнение и етапи</w:t>
            </w:r>
          </w:p>
        </w:tc>
        <w:tc>
          <w:tcPr>
            <w:tcW w:w="3808" w:type="dxa"/>
            <w:gridSpan w:val="3"/>
            <w:shd w:val="clear" w:color="auto" w:fill="E2EFD9" w:themeFill="accent6" w:themeFillTint="33"/>
          </w:tcPr>
          <w:p w14:paraId="2C56D261" w14:textId="36CE3A17" w:rsidR="00C02205" w:rsidRDefault="00C02205" w:rsidP="0050494F">
            <w:pPr>
              <w:spacing w:after="240"/>
            </w:pPr>
            <w:r w:rsidRPr="00AC6CE7">
              <w:t>Отговорно лице</w:t>
            </w:r>
          </w:p>
        </w:tc>
        <w:tc>
          <w:tcPr>
            <w:tcW w:w="4834" w:type="dxa"/>
            <w:gridSpan w:val="4"/>
            <w:shd w:val="clear" w:color="auto" w:fill="E2EFD9" w:themeFill="accent6" w:themeFillTint="33"/>
          </w:tcPr>
          <w:p w14:paraId="19D1A3A4" w14:textId="399B14A6" w:rsidR="00C02205" w:rsidRDefault="00401B1F" w:rsidP="0050494F">
            <w:pPr>
              <w:spacing w:after="240"/>
            </w:pPr>
            <w:r>
              <w:t>И</w:t>
            </w:r>
            <w:r w:rsidR="00C02205">
              <w:t>зпълнение</w:t>
            </w:r>
          </w:p>
        </w:tc>
      </w:tr>
      <w:tr w:rsidR="0020377D" w14:paraId="78D56FBB" w14:textId="77777777" w:rsidTr="00BB3678">
        <w:trPr>
          <w:trHeight w:val="2967"/>
        </w:trPr>
        <w:tc>
          <w:tcPr>
            <w:tcW w:w="2251" w:type="dxa"/>
            <w:shd w:val="clear" w:color="auto" w:fill="FFFFFF" w:themeFill="background1"/>
          </w:tcPr>
          <w:p w14:paraId="2781175B" w14:textId="4B3E7973" w:rsidR="0020377D" w:rsidRPr="00F7556D" w:rsidRDefault="0020377D" w:rsidP="000C3966">
            <w:pPr>
              <w:spacing w:after="240"/>
              <w:rPr>
                <w:sz w:val="22"/>
              </w:rPr>
            </w:pPr>
            <w:r w:rsidRPr="00F7556D">
              <w:rPr>
                <w:sz w:val="22"/>
              </w:rPr>
              <w:lastRenderedPageBreak/>
              <w:t>Риск от</w:t>
            </w:r>
            <w:r w:rsidR="000C3966">
              <w:rPr>
                <w:sz w:val="22"/>
              </w:rPr>
              <w:t xml:space="preserve"> липса на прозрачност по отношение на мерките, които се предприемат за превенция на корупцията</w:t>
            </w:r>
            <w:r w:rsidRPr="00F7556D">
              <w:rPr>
                <w:sz w:val="22"/>
              </w:rPr>
              <w:t>.</w:t>
            </w:r>
          </w:p>
        </w:tc>
        <w:tc>
          <w:tcPr>
            <w:tcW w:w="1977" w:type="dxa"/>
            <w:shd w:val="clear" w:color="auto" w:fill="FFFFFF" w:themeFill="background1"/>
          </w:tcPr>
          <w:p w14:paraId="1E69C372" w14:textId="13C32EC3" w:rsidR="0020377D" w:rsidRPr="00F7556D" w:rsidRDefault="0020377D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F7556D">
              <w:rPr>
                <w:sz w:val="22"/>
              </w:rPr>
              <w:t>Публикуване на данни за</w:t>
            </w:r>
            <w:r w:rsidR="002E552F">
              <w:rPr>
                <w:sz w:val="22"/>
              </w:rPr>
              <w:t xml:space="preserve"> броя на постъпилите в МЕУ</w:t>
            </w:r>
            <w:r w:rsidRPr="00F7556D">
              <w:rPr>
                <w:sz w:val="22"/>
              </w:rPr>
              <w:t xml:space="preserve"> сигнали за корупция и </w:t>
            </w:r>
            <w:r w:rsidR="00275E9A">
              <w:rPr>
                <w:sz w:val="22"/>
              </w:rPr>
              <w:t xml:space="preserve">за </w:t>
            </w:r>
            <w:r w:rsidRPr="00F7556D">
              <w:rPr>
                <w:sz w:val="22"/>
              </w:rPr>
              <w:t>предприети</w:t>
            </w:r>
            <w:r w:rsidR="00275E9A">
              <w:rPr>
                <w:sz w:val="22"/>
              </w:rPr>
              <w:t>те</w:t>
            </w:r>
            <w:r w:rsidRPr="00F7556D">
              <w:rPr>
                <w:sz w:val="22"/>
              </w:rPr>
              <w:t xml:space="preserve"> действия на о</w:t>
            </w:r>
            <w:r w:rsidR="002E552F">
              <w:rPr>
                <w:sz w:val="22"/>
              </w:rPr>
              <w:t>фициалната страница на министерството</w:t>
            </w:r>
            <w:r w:rsidRPr="00F7556D">
              <w:rPr>
                <w:sz w:val="22"/>
              </w:rPr>
              <w:t>, раздел „</w:t>
            </w:r>
            <w:proofErr w:type="spellStart"/>
            <w:r w:rsidRPr="00F7556D">
              <w:rPr>
                <w:sz w:val="22"/>
              </w:rPr>
              <w:t>Антикорупция</w:t>
            </w:r>
            <w:proofErr w:type="spellEnd"/>
            <w:r w:rsidRPr="00F7556D">
              <w:rPr>
                <w:sz w:val="22"/>
              </w:rPr>
              <w:t>“</w:t>
            </w:r>
          </w:p>
        </w:tc>
        <w:tc>
          <w:tcPr>
            <w:tcW w:w="3101" w:type="dxa"/>
            <w:gridSpan w:val="2"/>
            <w:shd w:val="clear" w:color="auto" w:fill="FFFFFF" w:themeFill="background1"/>
          </w:tcPr>
          <w:p w14:paraId="04C3EF26" w14:textId="17005C17" w:rsidR="0020377D" w:rsidRPr="00F7556D" w:rsidRDefault="002E552F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31.07.2023</w:t>
            </w:r>
            <w:r w:rsidR="0020377D" w:rsidRPr="00F7556D">
              <w:rPr>
                <w:sz w:val="22"/>
              </w:rPr>
              <w:t xml:space="preserve"> </w:t>
            </w:r>
            <w:r>
              <w:rPr>
                <w:sz w:val="22"/>
              </w:rPr>
              <w:t>г. (за първото полугодие на 2023</w:t>
            </w:r>
            <w:r w:rsidR="005A60FB" w:rsidRPr="00F7556D">
              <w:rPr>
                <w:sz w:val="22"/>
              </w:rPr>
              <w:t xml:space="preserve"> г.)</w:t>
            </w:r>
          </w:p>
          <w:p w14:paraId="6BBA2FE3" w14:textId="77777777" w:rsidR="0020377D" w:rsidRPr="00F7556D" w:rsidRDefault="0020377D" w:rsidP="0050494F">
            <w:pPr>
              <w:spacing w:after="240"/>
              <w:rPr>
                <w:sz w:val="22"/>
              </w:rPr>
            </w:pPr>
          </w:p>
          <w:p w14:paraId="1A16EA7C" w14:textId="77777777" w:rsidR="00401B1F" w:rsidRDefault="00401B1F" w:rsidP="0050494F">
            <w:pPr>
              <w:spacing w:after="240"/>
              <w:rPr>
                <w:sz w:val="22"/>
              </w:rPr>
            </w:pPr>
          </w:p>
          <w:p w14:paraId="0C8BC2A3" w14:textId="77777777" w:rsidR="00607BD0" w:rsidRDefault="00607BD0" w:rsidP="0050494F">
            <w:pPr>
              <w:spacing w:after="240"/>
              <w:rPr>
                <w:sz w:val="22"/>
              </w:rPr>
            </w:pPr>
          </w:p>
          <w:p w14:paraId="5A7BA788" w14:textId="07C0DA85" w:rsidR="0020377D" w:rsidRPr="00F7556D" w:rsidRDefault="002E552F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>
              <w:rPr>
                <w:sz w:val="22"/>
              </w:rPr>
              <w:t>31.01.2024</w:t>
            </w:r>
            <w:r w:rsidR="0020377D" w:rsidRPr="00F7556D">
              <w:rPr>
                <w:sz w:val="22"/>
              </w:rPr>
              <w:t xml:space="preserve"> </w:t>
            </w:r>
            <w:r>
              <w:rPr>
                <w:sz w:val="22"/>
              </w:rPr>
              <w:t>г. (за второто полугодие на 20</w:t>
            </w:r>
            <w:r w:rsidR="00FF748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="0020377D" w:rsidRPr="00F7556D">
              <w:rPr>
                <w:sz w:val="22"/>
              </w:rPr>
              <w:t xml:space="preserve"> г.)</w:t>
            </w:r>
          </w:p>
        </w:tc>
        <w:tc>
          <w:tcPr>
            <w:tcW w:w="3808" w:type="dxa"/>
            <w:gridSpan w:val="3"/>
            <w:shd w:val="clear" w:color="auto" w:fill="FFFFFF" w:themeFill="background1"/>
          </w:tcPr>
          <w:p w14:paraId="36C60DEA" w14:textId="04E3F0C6" w:rsidR="000C3966" w:rsidRDefault="000C3966" w:rsidP="0050494F">
            <w:pPr>
              <w:spacing w:after="240"/>
              <w:jc w:val="both"/>
              <w:rPr>
                <w:sz w:val="22"/>
              </w:rPr>
            </w:pPr>
            <w:r>
              <w:rPr>
                <w:sz w:val="22"/>
              </w:rPr>
              <w:t>Ръководителят на Инспектората на МЕУ</w:t>
            </w:r>
          </w:p>
          <w:p w14:paraId="54D6F24F" w14:textId="2A7C19A9" w:rsidR="0020377D" w:rsidRPr="00F7556D" w:rsidRDefault="0020377D" w:rsidP="0050494F">
            <w:pPr>
              <w:spacing w:after="240"/>
              <w:jc w:val="both"/>
              <w:rPr>
                <w:color w:val="385623" w:themeColor="accent6" w:themeShade="80"/>
                <w:sz w:val="22"/>
              </w:rPr>
            </w:pPr>
            <w:r w:rsidRPr="00F7556D">
              <w:rPr>
                <w:sz w:val="22"/>
              </w:rPr>
              <w:t>Държавният инспектор в Инспекторат</w:t>
            </w:r>
            <w:r w:rsidR="002E552F">
              <w:rPr>
                <w:sz w:val="22"/>
              </w:rPr>
              <w:t xml:space="preserve"> към МЕУ</w:t>
            </w:r>
          </w:p>
        </w:tc>
        <w:tc>
          <w:tcPr>
            <w:tcW w:w="4834" w:type="dxa"/>
            <w:gridSpan w:val="4"/>
            <w:shd w:val="clear" w:color="auto" w:fill="FFFFFF" w:themeFill="background1"/>
          </w:tcPr>
          <w:p w14:paraId="04BBB36D" w14:textId="45DC130B" w:rsidR="00401B1F" w:rsidRPr="00C86679" w:rsidRDefault="00401B1F" w:rsidP="00401B1F">
            <w:pPr>
              <w:rPr>
                <w:sz w:val="22"/>
              </w:rPr>
            </w:pPr>
            <w:r>
              <w:rPr>
                <w:szCs w:val="24"/>
              </w:rPr>
              <w:t>През първото полугодие на 2023 година</w:t>
            </w:r>
            <w:r w:rsidR="00D0500D">
              <w:rPr>
                <w:szCs w:val="24"/>
              </w:rPr>
              <w:t>,</w:t>
            </w:r>
            <w:r>
              <w:rPr>
                <w:szCs w:val="24"/>
              </w:rPr>
              <w:t xml:space="preserve"> в </w:t>
            </w:r>
            <w:r w:rsidR="00333773">
              <w:rPr>
                <w:sz w:val="22"/>
              </w:rPr>
              <w:t>МЕУ и в ИА</w:t>
            </w:r>
            <w:r w:rsidRPr="00C86679">
              <w:rPr>
                <w:sz w:val="22"/>
              </w:rPr>
              <w:t>ИЕУ не са постъпвали сигна</w:t>
            </w:r>
            <w:r w:rsidR="00D03785" w:rsidRPr="00C86679">
              <w:rPr>
                <w:sz w:val="22"/>
              </w:rPr>
              <w:t xml:space="preserve">ли за корупция. Тази информация е </w:t>
            </w:r>
            <w:r w:rsidRPr="00C86679">
              <w:rPr>
                <w:sz w:val="22"/>
              </w:rPr>
              <w:t>публикувана на официалната интернет страница на министерството  („</w:t>
            </w:r>
            <w:proofErr w:type="spellStart"/>
            <w:r w:rsidRPr="00C86679">
              <w:rPr>
                <w:sz w:val="22"/>
              </w:rPr>
              <w:t>Антикорупция</w:t>
            </w:r>
            <w:proofErr w:type="spellEnd"/>
            <w:r w:rsidRPr="00C86679">
              <w:rPr>
                <w:sz w:val="22"/>
              </w:rPr>
              <w:t>“), след одобрение на 6-месечния отчет.</w:t>
            </w:r>
          </w:p>
          <w:p w14:paraId="60B8D87F" w14:textId="77777777" w:rsidR="00C86679" w:rsidRDefault="00C86679" w:rsidP="0050494F">
            <w:pPr>
              <w:tabs>
                <w:tab w:val="left" w:pos="3165"/>
              </w:tabs>
              <w:spacing w:after="240"/>
              <w:rPr>
                <w:sz w:val="22"/>
              </w:rPr>
            </w:pPr>
          </w:p>
          <w:p w14:paraId="31D5F300" w14:textId="736C3821" w:rsidR="0020377D" w:rsidRPr="00D433EF" w:rsidRDefault="00D03785" w:rsidP="0050494F">
            <w:pPr>
              <w:tabs>
                <w:tab w:val="left" w:pos="3165"/>
              </w:tabs>
              <w:spacing w:after="240"/>
            </w:pPr>
            <w:r w:rsidRPr="00C86679">
              <w:rPr>
                <w:sz w:val="22"/>
              </w:rPr>
              <w:t>През второто полуго</w:t>
            </w:r>
            <w:r w:rsidR="00333773">
              <w:rPr>
                <w:sz w:val="22"/>
              </w:rPr>
              <w:t>дие на 2023 година в МЕУ и в ИА</w:t>
            </w:r>
            <w:r w:rsidRPr="00C86679">
              <w:rPr>
                <w:sz w:val="22"/>
              </w:rPr>
              <w:t>ИЕУ не са постъпвали сигнали за корупция. Тази информация ще бъде публикувана на официалната интернет страница на министерството  („</w:t>
            </w:r>
            <w:proofErr w:type="spellStart"/>
            <w:r w:rsidRPr="00C86679">
              <w:rPr>
                <w:sz w:val="22"/>
              </w:rPr>
              <w:t>Антикорупция</w:t>
            </w:r>
            <w:proofErr w:type="spellEnd"/>
            <w:r w:rsidRPr="00C86679">
              <w:rPr>
                <w:sz w:val="22"/>
              </w:rPr>
              <w:t>“), след одобрение на Годишния отчет.</w:t>
            </w:r>
          </w:p>
        </w:tc>
      </w:tr>
      <w:tr w:rsidR="00BB3678" w14:paraId="216B16DE" w14:textId="77777777" w:rsidTr="003E2BF9">
        <w:trPr>
          <w:trHeight w:val="664"/>
        </w:trPr>
        <w:tc>
          <w:tcPr>
            <w:tcW w:w="4228" w:type="dxa"/>
            <w:gridSpan w:val="2"/>
            <w:shd w:val="clear" w:color="auto" w:fill="FFFFFF" w:themeFill="background1"/>
          </w:tcPr>
          <w:p w14:paraId="3F8A5523" w14:textId="4940015A" w:rsidR="00BB3678" w:rsidRPr="00C86679" w:rsidRDefault="002B0AF5" w:rsidP="0050494F">
            <w:pPr>
              <w:spacing w:after="240"/>
              <w:rPr>
                <w:szCs w:val="24"/>
              </w:rPr>
            </w:pPr>
            <w:r w:rsidRPr="00C86679">
              <w:rPr>
                <w:szCs w:val="24"/>
              </w:rPr>
              <w:t>Обучения</w:t>
            </w:r>
          </w:p>
        </w:tc>
        <w:tc>
          <w:tcPr>
            <w:tcW w:w="11743" w:type="dxa"/>
            <w:gridSpan w:val="9"/>
            <w:shd w:val="clear" w:color="auto" w:fill="FFFFFF" w:themeFill="background1"/>
          </w:tcPr>
          <w:p w14:paraId="4AC3DCC9" w14:textId="0D84C4C5" w:rsidR="00182761" w:rsidRPr="00C86679" w:rsidRDefault="00D03785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През</w:t>
            </w:r>
            <w:r w:rsidR="00182761" w:rsidRPr="00C86679">
              <w:rPr>
                <w:szCs w:val="24"/>
              </w:rPr>
              <w:t xml:space="preserve"> 2023 г. </w:t>
            </w:r>
            <w:r w:rsidR="006C24AD">
              <w:rPr>
                <w:szCs w:val="24"/>
              </w:rPr>
              <w:t xml:space="preserve">на служители на ръководни и експертни длъжности в МЕУ и в ИАИЕУ </w:t>
            </w:r>
            <w:r w:rsidR="00182761" w:rsidRPr="00C86679">
              <w:rPr>
                <w:szCs w:val="24"/>
              </w:rPr>
              <w:t>са проведени обучения по темите:</w:t>
            </w:r>
          </w:p>
          <w:p w14:paraId="47225CAA" w14:textId="240F8928" w:rsidR="00182761" w:rsidRPr="00C86679" w:rsidRDefault="003E2BF9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„Превенция и противодействие на корупцията в държавната администрация“</w:t>
            </w:r>
            <w:r w:rsidR="00182761" w:rsidRPr="00C86679">
              <w:rPr>
                <w:szCs w:val="24"/>
              </w:rPr>
              <w:t>;</w:t>
            </w:r>
          </w:p>
          <w:p w14:paraId="390D83E1" w14:textId="1CD1B1AA" w:rsidR="00182761" w:rsidRPr="00C86679" w:rsidRDefault="00DB019F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„Подкуп на чужди длъжностни лица и сигнализиране при съмнение за извършено престъпление“</w:t>
            </w:r>
            <w:r w:rsidR="00182761" w:rsidRPr="00C86679">
              <w:rPr>
                <w:szCs w:val="24"/>
              </w:rPr>
              <w:t>;</w:t>
            </w:r>
          </w:p>
          <w:p w14:paraId="40454111" w14:textId="77777777" w:rsidR="00182761" w:rsidRPr="00C86679" w:rsidRDefault="00DB019F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„Предотвратяване и установяване на конфликт на интереси“</w:t>
            </w:r>
            <w:r w:rsidR="00182761" w:rsidRPr="00C86679">
              <w:rPr>
                <w:szCs w:val="24"/>
              </w:rPr>
              <w:t>;</w:t>
            </w:r>
          </w:p>
          <w:p w14:paraId="4AEF302E" w14:textId="77777777" w:rsidR="00182761" w:rsidRPr="00C86679" w:rsidRDefault="00DB019F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„</w:t>
            </w:r>
            <w:proofErr w:type="spellStart"/>
            <w:r w:rsidRPr="00C86679">
              <w:rPr>
                <w:szCs w:val="24"/>
              </w:rPr>
              <w:t>Итегритет</w:t>
            </w:r>
            <w:proofErr w:type="spellEnd"/>
            <w:r w:rsidRPr="00C86679">
              <w:rPr>
                <w:szCs w:val="24"/>
              </w:rPr>
              <w:t>, идентичност, личност. Организационна среда и методи за изследване“</w:t>
            </w:r>
            <w:r w:rsidR="00182761" w:rsidRPr="00C86679">
              <w:rPr>
                <w:szCs w:val="24"/>
              </w:rPr>
              <w:t>;</w:t>
            </w:r>
          </w:p>
          <w:p w14:paraId="145C386D" w14:textId="77777777" w:rsidR="00182761" w:rsidRPr="00C86679" w:rsidRDefault="00DB019F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>„Кодекс за поведение на служителите – функции и основни акценти“</w:t>
            </w:r>
            <w:r w:rsidR="00182761" w:rsidRPr="00C86679">
              <w:rPr>
                <w:szCs w:val="24"/>
              </w:rPr>
              <w:t>;</w:t>
            </w:r>
          </w:p>
          <w:p w14:paraId="38F0F728" w14:textId="4FA55289" w:rsidR="00BB3678" w:rsidRPr="00C86679" w:rsidRDefault="00DB019F" w:rsidP="00182761">
            <w:pPr>
              <w:rPr>
                <w:szCs w:val="24"/>
              </w:rPr>
            </w:pPr>
            <w:r w:rsidRPr="00C86679">
              <w:rPr>
                <w:szCs w:val="24"/>
              </w:rPr>
              <w:t xml:space="preserve">„Стратегии и политики за противодействие на рисковете в държавната администрация“. </w:t>
            </w:r>
          </w:p>
        </w:tc>
      </w:tr>
    </w:tbl>
    <w:p w14:paraId="7F4F4E30" w14:textId="77777777" w:rsidR="00D0500D" w:rsidRDefault="00D0500D" w:rsidP="00ED2AB2">
      <w:pPr>
        <w:spacing w:after="240" w:line="240" w:lineRule="auto"/>
        <w:ind w:left="8496" w:firstLine="708"/>
        <w:rPr>
          <w:b/>
        </w:rPr>
      </w:pPr>
    </w:p>
    <w:p w14:paraId="00C49BD4" w14:textId="1284A567" w:rsidR="0020656E" w:rsidRPr="0040675D" w:rsidRDefault="00DF287A" w:rsidP="0040675D">
      <w:pPr>
        <w:spacing w:line="240" w:lineRule="auto"/>
        <w:ind w:left="8496" w:firstLine="706"/>
      </w:pPr>
      <w:r w:rsidRPr="0020656E">
        <w:rPr>
          <w:b/>
        </w:rPr>
        <w:t>Изготвил:</w:t>
      </w:r>
      <w:r w:rsidR="00D03785">
        <w:rPr>
          <w:b/>
        </w:rPr>
        <w:t xml:space="preserve"> </w:t>
      </w:r>
      <w:r w:rsidR="0020656E" w:rsidRPr="0069589F">
        <w:rPr>
          <w:b/>
        </w:rPr>
        <w:t>Боряна Цветанова</w:t>
      </w:r>
      <w:r w:rsidR="006069CC">
        <w:rPr>
          <w:rStyle w:val="FootnoteReference"/>
          <w:b/>
        </w:rPr>
        <w:footnoteReference w:id="2"/>
      </w:r>
    </w:p>
    <w:p w14:paraId="119ACED6" w14:textId="218451AB" w:rsidR="0020656E" w:rsidRPr="0069589F" w:rsidRDefault="0020656E" w:rsidP="0040675D">
      <w:pPr>
        <w:spacing w:line="240" w:lineRule="auto"/>
        <w:ind w:left="8496" w:firstLine="706"/>
        <w:jc w:val="both"/>
        <w:rPr>
          <w:i/>
        </w:rPr>
      </w:pPr>
      <w:r w:rsidRPr="0069589F">
        <w:rPr>
          <w:i/>
        </w:rPr>
        <w:t xml:space="preserve">Ръководител на инспектората </w:t>
      </w:r>
      <w:r w:rsidR="006C24AD">
        <w:rPr>
          <w:i/>
        </w:rPr>
        <w:t>по чл. 46 от ЗА</w:t>
      </w:r>
    </w:p>
    <w:p w14:paraId="7AFDB1C5" w14:textId="130E8C4D" w:rsidR="0020656E" w:rsidRPr="0069589F" w:rsidRDefault="006C24AD" w:rsidP="0020656E">
      <w:pPr>
        <w:ind w:left="9204"/>
        <w:jc w:val="both"/>
        <w:rPr>
          <w:i/>
        </w:rPr>
      </w:pPr>
      <w:r>
        <w:rPr>
          <w:i/>
        </w:rPr>
        <w:t>в Министерство</w:t>
      </w:r>
      <w:r w:rsidR="0020656E" w:rsidRPr="0069589F">
        <w:rPr>
          <w:i/>
        </w:rPr>
        <w:t xml:space="preserve"> на електронното управление</w:t>
      </w:r>
    </w:p>
    <w:p w14:paraId="05A4BC50" w14:textId="1EE238B0" w:rsidR="00DF287A" w:rsidRDefault="00DF287A" w:rsidP="0050494F">
      <w:pPr>
        <w:spacing w:after="240" w:line="240" w:lineRule="auto"/>
      </w:pPr>
    </w:p>
    <w:sectPr w:rsidR="00DF287A" w:rsidSect="000F0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0EB2" w14:textId="77777777" w:rsidR="000116F0" w:rsidRDefault="000116F0" w:rsidP="00EB15B6">
      <w:pPr>
        <w:spacing w:line="240" w:lineRule="auto"/>
      </w:pPr>
      <w:r>
        <w:separator/>
      </w:r>
    </w:p>
  </w:endnote>
  <w:endnote w:type="continuationSeparator" w:id="0">
    <w:p w14:paraId="303B15C9" w14:textId="77777777" w:rsidR="000116F0" w:rsidRDefault="000116F0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F3A2" w14:textId="77777777" w:rsidR="00115A03" w:rsidRDefault="0011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9DAB" w14:textId="77777777" w:rsidR="00115A03" w:rsidRDefault="00115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A708" w14:textId="77777777" w:rsidR="00115A03" w:rsidRDefault="0011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4187" w14:textId="77777777" w:rsidR="000116F0" w:rsidRDefault="000116F0" w:rsidP="00EB15B6">
      <w:pPr>
        <w:spacing w:line="240" w:lineRule="auto"/>
      </w:pPr>
      <w:r>
        <w:separator/>
      </w:r>
    </w:p>
  </w:footnote>
  <w:footnote w:type="continuationSeparator" w:id="0">
    <w:p w14:paraId="3CBEB537" w14:textId="77777777" w:rsidR="000116F0" w:rsidRDefault="000116F0" w:rsidP="00EB15B6">
      <w:pPr>
        <w:spacing w:line="240" w:lineRule="auto"/>
      </w:pPr>
      <w:r>
        <w:continuationSeparator/>
      </w:r>
    </w:p>
  </w:footnote>
  <w:footnote w:id="1">
    <w:p w14:paraId="675632A5" w14:textId="77777777" w:rsidR="006069CC" w:rsidRPr="006069CC" w:rsidRDefault="006069CC" w:rsidP="006069CC">
      <w:pPr>
        <w:pStyle w:val="FootnoteText"/>
      </w:pPr>
      <w:r>
        <w:rPr>
          <w:rStyle w:val="FootnoteReference"/>
        </w:rPr>
        <w:footnoteRef/>
      </w:r>
      <w:r>
        <w:t xml:space="preserve"> Писмо рег. № 178/18.01.2024 г.</w:t>
      </w:r>
    </w:p>
    <w:p w14:paraId="1DF208DF" w14:textId="00F0DC4E" w:rsidR="006069CC" w:rsidRDefault="006069CC">
      <w:pPr>
        <w:pStyle w:val="FootnoteText"/>
      </w:pPr>
    </w:p>
  </w:footnote>
  <w:footnote w:id="2">
    <w:p w14:paraId="05CA0F7A" w14:textId="4B1037E7" w:rsidR="006069CC" w:rsidRPr="006069CC" w:rsidRDefault="006069CC">
      <w:pPr>
        <w:pStyle w:val="FootnoteText"/>
      </w:pPr>
      <w:r>
        <w:rPr>
          <w:rStyle w:val="FootnoteReference"/>
        </w:rPr>
        <w:footnoteRef/>
      </w:r>
      <w:r>
        <w:t xml:space="preserve"> Подписан през АИС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Министерство на електронното управление.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A796" w14:textId="77777777" w:rsidR="00115A03" w:rsidRDefault="0011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2443" w14:textId="5EBEFBE7" w:rsidR="00115A03" w:rsidRPr="00115A03" w:rsidRDefault="00115A03" w:rsidP="00115A03">
    <w:pPr>
      <w:tabs>
        <w:tab w:val="center" w:pos="4536"/>
        <w:tab w:val="right" w:pos="9072"/>
      </w:tabs>
      <w:spacing w:line="240" w:lineRule="auto"/>
      <w:jc w:val="center"/>
      <w:rPr>
        <w:rFonts w:eastAsia="Calibri" w:cs="Times New Roman"/>
        <w:noProof/>
        <w:szCs w:val="24"/>
        <w:lang w:eastAsia="bg-BG"/>
      </w:rPr>
    </w:pP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  <w:t>Ниво на конфиденциалност 0</w:t>
    </w:r>
    <w:r w:rsidRPr="00115A03">
      <w:rPr>
        <w:rFonts w:eastAsia="Calibri" w:cs="Times New Roman"/>
        <w:noProof/>
        <w:szCs w:val="24"/>
        <w:lang w:eastAsia="bg-BG"/>
      </w:rPr>
      <w:t xml:space="preserve">  </w:t>
    </w:r>
  </w:p>
  <w:p w14:paraId="4618B838" w14:textId="39634440" w:rsidR="00115A03" w:rsidRPr="00115A03" w:rsidRDefault="00115A03" w:rsidP="00115A03">
    <w:pPr>
      <w:tabs>
        <w:tab w:val="center" w:pos="4536"/>
        <w:tab w:val="right" w:pos="9072"/>
      </w:tabs>
      <w:spacing w:line="240" w:lineRule="auto"/>
      <w:jc w:val="center"/>
      <w:rPr>
        <w:rFonts w:eastAsia="Calibri" w:cs="Times New Roman"/>
        <w:noProof/>
        <w:szCs w:val="24"/>
        <w:lang w:eastAsia="bg-BG"/>
      </w:rPr>
    </w:pP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>
      <w:rPr>
        <w:rFonts w:eastAsia="Calibri" w:cs="Times New Roman"/>
        <w:noProof/>
        <w:szCs w:val="24"/>
        <w:lang w:eastAsia="bg-BG"/>
      </w:rPr>
      <w:tab/>
    </w:r>
    <w:r w:rsidRPr="00115A03">
      <w:rPr>
        <w:rFonts w:eastAsia="Calibri" w:cs="Times New Roman"/>
        <w:noProof/>
        <w:szCs w:val="24"/>
        <w:lang w:eastAsia="bg-BG"/>
      </w:rPr>
      <w:t>[</w:t>
    </w:r>
    <w:r w:rsidRPr="00115A03">
      <w:rPr>
        <w:rFonts w:eastAsia="Calibri" w:cs="Times New Roman"/>
        <w:b/>
        <w:noProof/>
        <w:szCs w:val="24"/>
        <w:lang w:eastAsia="bg-BG"/>
      </w:rPr>
      <w:t>TLP-</w:t>
    </w:r>
    <w:r w:rsidRPr="00115A03">
      <w:rPr>
        <w:rFonts w:eastAsia="Verdana"/>
        <w:b/>
        <w:spacing w:val="-2"/>
        <w:szCs w:val="24"/>
      </w:rPr>
      <w:t xml:space="preserve"> </w:t>
    </w:r>
    <w:r w:rsidRPr="00B1001A">
      <w:rPr>
        <w:rFonts w:eastAsia="Verdana"/>
        <w:b/>
        <w:spacing w:val="-2"/>
        <w:szCs w:val="24"/>
      </w:rPr>
      <w:t>W</w:t>
    </w:r>
    <w:r w:rsidRPr="00B1001A">
      <w:rPr>
        <w:rFonts w:eastAsia="Verdana"/>
        <w:b/>
        <w:szCs w:val="24"/>
      </w:rPr>
      <w:t>H</w:t>
    </w:r>
    <w:r w:rsidRPr="00B1001A">
      <w:rPr>
        <w:rFonts w:eastAsia="Verdana"/>
        <w:b/>
        <w:spacing w:val="-1"/>
        <w:szCs w:val="24"/>
      </w:rPr>
      <w:t>I</w:t>
    </w:r>
    <w:r w:rsidRPr="00B1001A">
      <w:rPr>
        <w:rFonts w:eastAsia="Verdana"/>
        <w:b/>
        <w:spacing w:val="1"/>
        <w:szCs w:val="24"/>
      </w:rPr>
      <w:t>T</w:t>
    </w:r>
    <w:r w:rsidRPr="00B1001A">
      <w:rPr>
        <w:rFonts w:eastAsia="Verdana"/>
        <w:b/>
        <w:szCs w:val="24"/>
      </w:rPr>
      <w:t>E</w:t>
    </w:r>
    <w:r w:rsidRPr="00115A03">
      <w:rPr>
        <w:rFonts w:eastAsia="Calibri" w:cs="Times New Roman"/>
        <w:noProof/>
        <w:szCs w:val="24"/>
        <w:lang w:eastAsia="bg-BG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625F" w14:textId="77777777" w:rsidR="00115A03" w:rsidRDefault="00115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18E"/>
    <w:rsid w:val="000044C0"/>
    <w:rsid w:val="00010661"/>
    <w:rsid w:val="000116F0"/>
    <w:rsid w:val="000124BD"/>
    <w:rsid w:val="0002688A"/>
    <w:rsid w:val="000419D3"/>
    <w:rsid w:val="000543AE"/>
    <w:rsid w:val="0007558C"/>
    <w:rsid w:val="0008125A"/>
    <w:rsid w:val="000840CE"/>
    <w:rsid w:val="0009558A"/>
    <w:rsid w:val="000A6319"/>
    <w:rsid w:val="000A639F"/>
    <w:rsid w:val="000B3FA7"/>
    <w:rsid w:val="000C268F"/>
    <w:rsid w:val="000C3966"/>
    <w:rsid w:val="000C3BCB"/>
    <w:rsid w:val="000D23BB"/>
    <w:rsid w:val="000D671D"/>
    <w:rsid w:val="000D6EF3"/>
    <w:rsid w:val="000F0330"/>
    <w:rsid w:val="000F3415"/>
    <w:rsid w:val="00100B5A"/>
    <w:rsid w:val="00112CB2"/>
    <w:rsid w:val="00115A03"/>
    <w:rsid w:val="001176F0"/>
    <w:rsid w:val="00132C33"/>
    <w:rsid w:val="00133C55"/>
    <w:rsid w:val="00134E0B"/>
    <w:rsid w:val="00146277"/>
    <w:rsid w:val="001476DF"/>
    <w:rsid w:val="001541C3"/>
    <w:rsid w:val="0016012A"/>
    <w:rsid w:val="001643DC"/>
    <w:rsid w:val="00176884"/>
    <w:rsid w:val="00176D23"/>
    <w:rsid w:val="00182761"/>
    <w:rsid w:val="00187982"/>
    <w:rsid w:val="001A3368"/>
    <w:rsid w:val="001A5925"/>
    <w:rsid w:val="001B0679"/>
    <w:rsid w:val="001C1F74"/>
    <w:rsid w:val="0020377D"/>
    <w:rsid w:val="00205499"/>
    <w:rsid w:val="0020656E"/>
    <w:rsid w:val="002121EC"/>
    <w:rsid w:val="0023524E"/>
    <w:rsid w:val="00237CE5"/>
    <w:rsid w:val="00237DE7"/>
    <w:rsid w:val="00247BED"/>
    <w:rsid w:val="00254003"/>
    <w:rsid w:val="00255219"/>
    <w:rsid w:val="00255879"/>
    <w:rsid w:val="00257D2C"/>
    <w:rsid w:val="00262438"/>
    <w:rsid w:val="00275E9A"/>
    <w:rsid w:val="002B0AF5"/>
    <w:rsid w:val="002B4492"/>
    <w:rsid w:val="002E47E8"/>
    <w:rsid w:val="002E552F"/>
    <w:rsid w:val="00300D2B"/>
    <w:rsid w:val="00320258"/>
    <w:rsid w:val="00330367"/>
    <w:rsid w:val="00333773"/>
    <w:rsid w:val="0033598F"/>
    <w:rsid w:val="0035673B"/>
    <w:rsid w:val="003579F1"/>
    <w:rsid w:val="00380A70"/>
    <w:rsid w:val="003811FD"/>
    <w:rsid w:val="00386F8A"/>
    <w:rsid w:val="00387E9C"/>
    <w:rsid w:val="003A1F25"/>
    <w:rsid w:val="003A29B6"/>
    <w:rsid w:val="003B0E9A"/>
    <w:rsid w:val="003B6918"/>
    <w:rsid w:val="003B6D81"/>
    <w:rsid w:val="003C2D34"/>
    <w:rsid w:val="003C5461"/>
    <w:rsid w:val="003E2BF9"/>
    <w:rsid w:val="003F5686"/>
    <w:rsid w:val="00401B1F"/>
    <w:rsid w:val="00402980"/>
    <w:rsid w:val="0040675D"/>
    <w:rsid w:val="00421B4B"/>
    <w:rsid w:val="00425CD5"/>
    <w:rsid w:val="00437944"/>
    <w:rsid w:val="0044530E"/>
    <w:rsid w:val="0044672D"/>
    <w:rsid w:val="00456155"/>
    <w:rsid w:val="00456FCB"/>
    <w:rsid w:val="00482384"/>
    <w:rsid w:val="004833BC"/>
    <w:rsid w:val="004878A3"/>
    <w:rsid w:val="0049370B"/>
    <w:rsid w:val="004C2444"/>
    <w:rsid w:val="004C4AB2"/>
    <w:rsid w:val="004C66E6"/>
    <w:rsid w:val="004D461D"/>
    <w:rsid w:val="004F0C34"/>
    <w:rsid w:val="005021BE"/>
    <w:rsid w:val="0050494F"/>
    <w:rsid w:val="00505799"/>
    <w:rsid w:val="00547D56"/>
    <w:rsid w:val="00572018"/>
    <w:rsid w:val="00596129"/>
    <w:rsid w:val="00597D1A"/>
    <w:rsid w:val="005A572A"/>
    <w:rsid w:val="005A60FB"/>
    <w:rsid w:val="005A7ED9"/>
    <w:rsid w:val="005E0302"/>
    <w:rsid w:val="00601B3C"/>
    <w:rsid w:val="006056F0"/>
    <w:rsid w:val="006069CC"/>
    <w:rsid w:val="00607BD0"/>
    <w:rsid w:val="006236AD"/>
    <w:rsid w:val="00627990"/>
    <w:rsid w:val="00631C3C"/>
    <w:rsid w:val="00651379"/>
    <w:rsid w:val="00652156"/>
    <w:rsid w:val="00663492"/>
    <w:rsid w:val="00673A03"/>
    <w:rsid w:val="00676080"/>
    <w:rsid w:val="00682AEB"/>
    <w:rsid w:val="006856F9"/>
    <w:rsid w:val="006922DF"/>
    <w:rsid w:val="00696356"/>
    <w:rsid w:val="006A3DA7"/>
    <w:rsid w:val="006C24AD"/>
    <w:rsid w:val="006E41A0"/>
    <w:rsid w:val="006F3D2E"/>
    <w:rsid w:val="006F4A4A"/>
    <w:rsid w:val="006F7373"/>
    <w:rsid w:val="007066AA"/>
    <w:rsid w:val="00723B78"/>
    <w:rsid w:val="0074092F"/>
    <w:rsid w:val="007470F8"/>
    <w:rsid w:val="007540E2"/>
    <w:rsid w:val="0077702D"/>
    <w:rsid w:val="007A4569"/>
    <w:rsid w:val="007C6CEB"/>
    <w:rsid w:val="007D66E4"/>
    <w:rsid w:val="007E0018"/>
    <w:rsid w:val="007E1F02"/>
    <w:rsid w:val="007F26B7"/>
    <w:rsid w:val="007F5946"/>
    <w:rsid w:val="00803136"/>
    <w:rsid w:val="00813E4F"/>
    <w:rsid w:val="00830E73"/>
    <w:rsid w:val="0083149E"/>
    <w:rsid w:val="008348F2"/>
    <w:rsid w:val="00854906"/>
    <w:rsid w:val="00855C37"/>
    <w:rsid w:val="00857937"/>
    <w:rsid w:val="00874327"/>
    <w:rsid w:val="00893BFE"/>
    <w:rsid w:val="008A0361"/>
    <w:rsid w:val="008A43F6"/>
    <w:rsid w:val="008B0AD8"/>
    <w:rsid w:val="008C06DA"/>
    <w:rsid w:val="008C1C4F"/>
    <w:rsid w:val="008E0D2F"/>
    <w:rsid w:val="008E44D0"/>
    <w:rsid w:val="008F0802"/>
    <w:rsid w:val="00901DD9"/>
    <w:rsid w:val="0091645E"/>
    <w:rsid w:val="009257A6"/>
    <w:rsid w:val="00930719"/>
    <w:rsid w:val="00947527"/>
    <w:rsid w:val="009623E0"/>
    <w:rsid w:val="009800DB"/>
    <w:rsid w:val="009806B6"/>
    <w:rsid w:val="00997F5F"/>
    <w:rsid w:val="009A132C"/>
    <w:rsid w:val="009B043B"/>
    <w:rsid w:val="009B396A"/>
    <w:rsid w:val="009C029C"/>
    <w:rsid w:val="009D3251"/>
    <w:rsid w:val="009D4781"/>
    <w:rsid w:val="009E4936"/>
    <w:rsid w:val="00A01173"/>
    <w:rsid w:val="00A1223A"/>
    <w:rsid w:val="00A13683"/>
    <w:rsid w:val="00A330BC"/>
    <w:rsid w:val="00A36718"/>
    <w:rsid w:val="00A54419"/>
    <w:rsid w:val="00A655FE"/>
    <w:rsid w:val="00A716E0"/>
    <w:rsid w:val="00A8083D"/>
    <w:rsid w:val="00AA099E"/>
    <w:rsid w:val="00AA436B"/>
    <w:rsid w:val="00AB0D33"/>
    <w:rsid w:val="00B23759"/>
    <w:rsid w:val="00B27377"/>
    <w:rsid w:val="00B406E6"/>
    <w:rsid w:val="00B46C28"/>
    <w:rsid w:val="00B635E4"/>
    <w:rsid w:val="00B7672E"/>
    <w:rsid w:val="00B8557C"/>
    <w:rsid w:val="00B875E4"/>
    <w:rsid w:val="00B95CEA"/>
    <w:rsid w:val="00BA39C5"/>
    <w:rsid w:val="00BB3678"/>
    <w:rsid w:val="00BB7C2F"/>
    <w:rsid w:val="00BC147A"/>
    <w:rsid w:val="00BD0C7A"/>
    <w:rsid w:val="00BE787D"/>
    <w:rsid w:val="00C02205"/>
    <w:rsid w:val="00C03E44"/>
    <w:rsid w:val="00C05F41"/>
    <w:rsid w:val="00C166CD"/>
    <w:rsid w:val="00C3326F"/>
    <w:rsid w:val="00C52AF8"/>
    <w:rsid w:val="00C86679"/>
    <w:rsid w:val="00CA41DA"/>
    <w:rsid w:val="00CA48FF"/>
    <w:rsid w:val="00CC0081"/>
    <w:rsid w:val="00CF68AC"/>
    <w:rsid w:val="00D03785"/>
    <w:rsid w:val="00D0500D"/>
    <w:rsid w:val="00D11A76"/>
    <w:rsid w:val="00D433EF"/>
    <w:rsid w:val="00D47342"/>
    <w:rsid w:val="00D4743C"/>
    <w:rsid w:val="00D77B01"/>
    <w:rsid w:val="00D831F2"/>
    <w:rsid w:val="00D93956"/>
    <w:rsid w:val="00D93B59"/>
    <w:rsid w:val="00D97545"/>
    <w:rsid w:val="00DB019F"/>
    <w:rsid w:val="00DC1DB7"/>
    <w:rsid w:val="00DC4D3C"/>
    <w:rsid w:val="00DC66AB"/>
    <w:rsid w:val="00DD2B4A"/>
    <w:rsid w:val="00DD5622"/>
    <w:rsid w:val="00DE3440"/>
    <w:rsid w:val="00DF287A"/>
    <w:rsid w:val="00DF72E8"/>
    <w:rsid w:val="00E14F79"/>
    <w:rsid w:val="00E16634"/>
    <w:rsid w:val="00E26F61"/>
    <w:rsid w:val="00E34B99"/>
    <w:rsid w:val="00E37422"/>
    <w:rsid w:val="00E41E19"/>
    <w:rsid w:val="00E4248E"/>
    <w:rsid w:val="00E725DC"/>
    <w:rsid w:val="00E75273"/>
    <w:rsid w:val="00E93884"/>
    <w:rsid w:val="00E97B95"/>
    <w:rsid w:val="00E97C33"/>
    <w:rsid w:val="00EB0AD7"/>
    <w:rsid w:val="00EB15B6"/>
    <w:rsid w:val="00EC6641"/>
    <w:rsid w:val="00ED2AB2"/>
    <w:rsid w:val="00EE1861"/>
    <w:rsid w:val="00EE1F57"/>
    <w:rsid w:val="00EE494A"/>
    <w:rsid w:val="00EF0038"/>
    <w:rsid w:val="00EF0837"/>
    <w:rsid w:val="00EF6741"/>
    <w:rsid w:val="00F07BED"/>
    <w:rsid w:val="00F1658D"/>
    <w:rsid w:val="00F45B47"/>
    <w:rsid w:val="00F56ADB"/>
    <w:rsid w:val="00F7556D"/>
    <w:rsid w:val="00F76345"/>
    <w:rsid w:val="00F826C9"/>
    <w:rsid w:val="00F84CD8"/>
    <w:rsid w:val="00F85F43"/>
    <w:rsid w:val="00FA47C6"/>
    <w:rsid w:val="00FA7F7A"/>
    <w:rsid w:val="00FB66A6"/>
    <w:rsid w:val="00FC0965"/>
    <w:rsid w:val="00FC12A6"/>
    <w:rsid w:val="00FC46BC"/>
    <w:rsid w:val="00FE1E69"/>
    <w:rsid w:val="00FF0F9C"/>
    <w:rsid w:val="00FF504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D3A8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6D"/>
  </w:style>
  <w:style w:type="paragraph" w:styleId="Footer">
    <w:name w:val="footer"/>
    <w:basedOn w:val="Normal"/>
    <w:link w:val="Foot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7CDD-6B29-4609-8378-32464D5A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Boryana Tsvetanova</cp:lastModifiedBy>
  <cp:revision>38</cp:revision>
  <cp:lastPrinted>2024-01-11T14:18:00Z</cp:lastPrinted>
  <dcterms:created xsi:type="dcterms:W3CDTF">2024-01-10T11:59:00Z</dcterms:created>
  <dcterms:modified xsi:type="dcterms:W3CDTF">2024-01-23T06:39:00Z</dcterms:modified>
</cp:coreProperties>
</file>